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7"/>
          <w:szCs w:val="37"/>
        </w:rPr>
      </w:pPr>
    </w:p>
    <w:p>
      <w:pPr>
        <w:jc w:val="center"/>
        <w:rPr>
          <w:b/>
          <w:sz w:val="37"/>
          <w:szCs w:val="37"/>
        </w:rPr>
      </w:pPr>
    </w:p>
    <w:p>
      <w:pPr>
        <w:jc w:val="center"/>
        <w:rPr>
          <w:rFonts w:ascii="华文隶书" w:eastAsia="华文隶书"/>
          <w:b/>
          <w:sz w:val="48"/>
          <w:szCs w:val="48"/>
        </w:rPr>
      </w:pPr>
      <w:r>
        <w:rPr>
          <w:rFonts w:hint="eastAsia" w:ascii="华文隶书" w:eastAsia="华文隶书"/>
          <w:b/>
          <w:sz w:val="48"/>
          <w:szCs w:val="48"/>
        </w:rPr>
        <w:t>第六届“2019年北京教育论坛”</w:t>
      </w:r>
    </w:p>
    <w:p>
      <w:pPr>
        <w:jc w:val="center"/>
        <w:rPr>
          <w:rFonts w:ascii="华文隶书" w:eastAsia="华文隶书"/>
          <w:b/>
          <w:sz w:val="48"/>
          <w:szCs w:val="48"/>
        </w:rPr>
      </w:pPr>
      <w:r>
        <w:rPr>
          <w:rFonts w:hint="eastAsia" w:ascii="华文隶书" w:eastAsia="华文隶书"/>
          <w:b/>
          <w:sz w:val="48"/>
          <w:szCs w:val="48"/>
        </w:rPr>
        <w:t>预通知</w:t>
      </w:r>
    </w:p>
    <w:p>
      <w:pPr>
        <w:rPr>
          <w:rFonts w:ascii="华文隶书" w:eastAsia="华文隶书"/>
          <w:sz w:val="40"/>
          <w:szCs w:val="40"/>
        </w:rPr>
      </w:pPr>
    </w:p>
    <w:p>
      <w:pPr>
        <w:jc w:val="center"/>
        <w:rPr>
          <w:rFonts w:ascii="华文隶书" w:eastAsia="华文隶书"/>
          <w:b/>
          <w:sz w:val="40"/>
          <w:szCs w:val="40"/>
        </w:rPr>
      </w:pPr>
    </w:p>
    <w:p>
      <w:pPr>
        <w:jc w:val="center"/>
        <w:rPr>
          <w:rFonts w:ascii="华文隶书" w:eastAsia="华文隶书"/>
          <w:b/>
          <w:sz w:val="40"/>
          <w:szCs w:val="40"/>
        </w:rPr>
      </w:pPr>
    </w:p>
    <w:p>
      <w:pPr>
        <w:jc w:val="center"/>
        <w:rPr>
          <w:rFonts w:ascii="华文隶书" w:eastAsia="华文隶书"/>
          <w:b/>
          <w:sz w:val="40"/>
          <w:szCs w:val="40"/>
        </w:rPr>
      </w:pPr>
    </w:p>
    <w:p>
      <w:pPr>
        <w:jc w:val="center"/>
        <w:rPr>
          <w:rFonts w:ascii="华文隶书" w:eastAsia="华文隶书"/>
          <w:b/>
          <w:sz w:val="40"/>
          <w:szCs w:val="40"/>
        </w:rPr>
      </w:pPr>
    </w:p>
    <w:p>
      <w:pPr>
        <w:jc w:val="center"/>
        <w:rPr>
          <w:rFonts w:ascii="华文隶书" w:eastAsia="华文隶书"/>
          <w:b/>
          <w:sz w:val="48"/>
          <w:szCs w:val="48"/>
        </w:rPr>
      </w:pPr>
      <w:r>
        <w:rPr>
          <w:rFonts w:hint="eastAsia" w:ascii="华文隶书" w:eastAsia="华文隶书"/>
          <w:b/>
          <w:sz w:val="48"/>
          <w:szCs w:val="48"/>
        </w:rPr>
        <w:t>生态文明教育助力美丽中国建设</w:t>
      </w:r>
    </w:p>
    <w:p>
      <w:pPr>
        <w:rPr>
          <w:rFonts w:ascii="华文隶书" w:eastAsia="华文隶书"/>
          <w:sz w:val="40"/>
          <w:szCs w:val="40"/>
        </w:rPr>
      </w:pPr>
    </w:p>
    <w:p>
      <w:pPr>
        <w:rPr>
          <w:rFonts w:ascii="华文隶书" w:eastAsia="华文隶书"/>
          <w:sz w:val="40"/>
          <w:szCs w:val="40"/>
        </w:rPr>
      </w:pPr>
      <w:r>
        <w:rPr>
          <w:rFonts w:hint="eastAsia" w:ascii="华文隶书" w:eastAsia="华文隶书"/>
          <w:sz w:val="40"/>
          <w:szCs w:val="40"/>
        </w:rPr>
        <w:t xml:space="preserve">        </w:t>
      </w:r>
    </w:p>
    <w:p>
      <w:pPr>
        <w:rPr>
          <w:rFonts w:ascii="华文隶书" w:eastAsia="华文隶书"/>
          <w:sz w:val="40"/>
          <w:szCs w:val="40"/>
        </w:rPr>
      </w:pPr>
      <w:r>
        <w:rPr>
          <w:rFonts w:hint="eastAsia" w:ascii="华文隶书" w:eastAsia="华文隶书"/>
          <w:sz w:val="40"/>
          <w:szCs w:val="40"/>
        </w:rPr>
        <w:t xml:space="preserve">       </w:t>
      </w:r>
    </w:p>
    <w:p>
      <w:pPr>
        <w:rPr>
          <w:rFonts w:ascii="华文隶书" w:eastAsia="华文隶书"/>
          <w:sz w:val="40"/>
          <w:szCs w:val="40"/>
        </w:rPr>
      </w:pPr>
    </w:p>
    <w:p>
      <w:pPr>
        <w:rPr>
          <w:rFonts w:ascii="华文隶书" w:eastAsia="华文隶书"/>
          <w:sz w:val="40"/>
          <w:szCs w:val="40"/>
        </w:rPr>
      </w:pPr>
    </w:p>
    <w:p>
      <w:pPr>
        <w:rPr>
          <w:rFonts w:ascii="华文隶书" w:eastAsia="华文隶书"/>
          <w:sz w:val="40"/>
          <w:szCs w:val="40"/>
        </w:rPr>
      </w:pPr>
    </w:p>
    <w:p>
      <w:pPr>
        <w:rPr>
          <w:rFonts w:ascii="华文隶书" w:eastAsia="华文隶书"/>
          <w:sz w:val="40"/>
          <w:szCs w:val="40"/>
        </w:rPr>
      </w:pPr>
    </w:p>
    <w:p>
      <w:pPr>
        <w:rPr>
          <w:rFonts w:ascii="华文隶书" w:eastAsia="华文隶书"/>
          <w:sz w:val="40"/>
          <w:szCs w:val="40"/>
        </w:rPr>
      </w:pPr>
    </w:p>
    <w:p>
      <w:pPr>
        <w:rPr>
          <w:rFonts w:ascii="华文隶书" w:eastAsia="华文隶书"/>
          <w:sz w:val="40"/>
          <w:szCs w:val="40"/>
        </w:rPr>
      </w:pPr>
      <w:r>
        <w:rPr>
          <w:rFonts w:hint="eastAsia" w:ascii="华文隶书" w:eastAsia="华文隶书"/>
          <w:sz w:val="40"/>
          <w:szCs w:val="40"/>
        </w:rPr>
        <w:drawing>
          <wp:anchor distT="0" distB="0" distL="114300" distR="114300" simplePos="0" relativeHeight="251660288" behindDoc="0" locked="0" layoutInCell="1" allowOverlap="1">
            <wp:simplePos x="0" y="0"/>
            <wp:positionH relativeFrom="column">
              <wp:posOffset>866775</wp:posOffset>
            </wp:positionH>
            <wp:positionV relativeFrom="paragraph">
              <wp:posOffset>198120</wp:posOffset>
            </wp:positionV>
            <wp:extent cx="735330" cy="733425"/>
            <wp:effectExtent l="19050" t="0" r="7620" b="0"/>
            <wp:wrapNone/>
            <wp:docPr id="1" name="图片 15" descr="扫描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扫描0005"/>
                    <pic:cNvPicPr>
                      <a:picLocks noChangeAspect="1" noChangeArrowheads="1"/>
                    </pic:cNvPicPr>
                  </pic:nvPicPr>
                  <pic:blipFill>
                    <a:blip r:embed="rId7" cstate="print"/>
                    <a:srcRect/>
                    <a:stretch>
                      <a:fillRect/>
                    </a:stretch>
                  </pic:blipFill>
                  <pic:spPr>
                    <a:xfrm>
                      <a:off x="0" y="0"/>
                      <a:ext cx="735330" cy="733425"/>
                    </a:xfrm>
                    <a:prstGeom prst="rect">
                      <a:avLst/>
                    </a:prstGeom>
                    <a:noFill/>
                    <a:ln w="9525">
                      <a:noFill/>
                      <a:miter lim="800000"/>
                      <a:headEnd/>
                      <a:tailEnd/>
                    </a:ln>
                  </pic:spPr>
                </pic:pic>
              </a:graphicData>
            </a:graphic>
          </wp:anchor>
        </w:drawing>
      </w:r>
    </w:p>
    <w:p>
      <w:pPr>
        <w:ind w:firstLine="2803" w:firstLineChars="700"/>
        <w:rPr>
          <w:rFonts w:ascii="华文隶书" w:eastAsia="华文隶书"/>
          <w:b/>
          <w:sz w:val="40"/>
          <w:szCs w:val="40"/>
        </w:rPr>
      </w:pPr>
      <w:r>
        <w:rPr>
          <w:rFonts w:hint="eastAsia" w:ascii="华文隶书" w:eastAsia="华文隶书"/>
          <w:b/>
          <w:sz w:val="40"/>
          <w:szCs w:val="40"/>
        </w:rPr>
        <w:t>北京教育科学研究院</w:t>
      </w:r>
    </w:p>
    <w:p>
      <w:pPr>
        <w:rPr>
          <w:b/>
          <w:sz w:val="33"/>
          <w:szCs w:val="33"/>
        </w:rPr>
      </w:pPr>
      <w:bookmarkStart w:id="0" w:name="_GoBack"/>
      <w:bookmarkEnd w:id="0"/>
    </w:p>
    <w:p>
      <w:pPr>
        <w:pStyle w:val="14"/>
        <w:numPr>
          <w:ilvl w:val="0"/>
          <w:numId w:val="1"/>
        </w:numPr>
        <w:ind w:firstLineChars="0"/>
        <w:rPr>
          <w:b/>
          <w:sz w:val="33"/>
          <w:szCs w:val="33"/>
        </w:rPr>
      </w:pPr>
      <w:r>
        <w:rPr>
          <w:rFonts w:hint="eastAsia"/>
          <w:b/>
          <w:sz w:val="33"/>
          <w:szCs w:val="33"/>
        </w:rPr>
        <w:t>会议简介</w:t>
      </w:r>
    </w:p>
    <w:p>
      <w:pPr>
        <w:rPr>
          <w:b/>
          <w:sz w:val="33"/>
          <w:szCs w:val="33"/>
        </w:rPr>
      </w:pPr>
      <w:r>
        <w:rPr>
          <w:rFonts w:hint="eastAsia" w:ascii="宋体" w:hAnsi="宋体"/>
          <w:sz w:val="28"/>
          <w:szCs w:val="28"/>
        </w:rPr>
        <w:t xml:space="preserve">    党的十八大以来，以习近平同志为核心的党中央把生态文明建设作为统筹推进“五位一体”总体布局和协调推进“四个全面”战略布局的重要内容，我国生态文明建设成效显著，向世界传递了中国坚定走绿色发展之路的决心和信心，也极大地推进了我国生态文明教育的发展。</w:t>
      </w:r>
    </w:p>
    <w:p>
      <w:pPr>
        <w:ind w:firstLine="560" w:firstLineChars="200"/>
        <w:rPr>
          <w:rFonts w:ascii="宋体" w:hAnsi="宋体"/>
          <w:sz w:val="28"/>
          <w:szCs w:val="28"/>
        </w:rPr>
      </w:pPr>
      <w:r>
        <w:rPr>
          <w:rFonts w:hint="eastAsia" w:ascii="宋体" w:hAnsi="宋体"/>
          <w:sz w:val="28"/>
          <w:szCs w:val="28"/>
        </w:rPr>
        <w:t>2019年4月28日，习近平总书记在北京世园会开幕式上的重要讲话中，进一步明确指出“</w:t>
      </w:r>
      <w:r>
        <w:rPr>
          <w:rFonts w:ascii="宋体" w:hAnsi="宋体"/>
          <w:sz w:val="28"/>
          <w:szCs w:val="28"/>
        </w:rPr>
        <w:t>生态文明建设已经纳入中国国家发展总体布局，建设美丽中国已经成为中国</w:t>
      </w:r>
      <w:r>
        <w:rPr>
          <w:rFonts w:hint="eastAsia" w:ascii="宋体" w:hAnsi="宋体"/>
          <w:sz w:val="28"/>
          <w:szCs w:val="28"/>
        </w:rPr>
        <w:t>社会共识和众</w:t>
      </w:r>
      <w:r>
        <w:rPr>
          <w:rFonts w:ascii="宋体" w:hAnsi="宋体"/>
          <w:sz w:val="28"/>
          <w:szCs w:val="28"/>
        </w:rPr>
        <w:t>心</w:t>
      </w:r>
      <w:r>
        <w:rPr>
          <w:rFonts w:hint="eastAsia" w:ascii="宋体" w:hAnsi="宋体"/>
          <w:sz w:val="28"/>
          <w:szCs w:val="28"/>
        </w:rPr>
        <w:t>所向</w:t>
      </w:r>
      <w:r>
        <w:rPr>
          <w:rFonts w:ascii="宋体" w:hAnsi="宋体"/>
          <w:sz w:val="28"/>
          <w:szCs w:val="28"/>
        </w:rPr>
        <w:t>的奋斗目标”，</w:t>
      </w:r>
      <w:r>
        <w:rPr>
          <w:rFonts w:hint="eastAsia" w:ascii="宋体" w:hAnsi="宋体"/>
          <w:sz w:val="28"/>
          <w:szCs w:val="28"/>
        </w:rPr>
        <w:t>提出了五个“应该追求”的主张，进一步丰富了习近平生态文明思想，也对新时代我国生态文明教育发展提供了方向指引和根本遵循。</w:t>
      </w:r>
    </w:p>
    <w:p>
      <w:pPr>
        <w:ind w:firstLine="560" w:firstLineChars="200"/>
        <w:rPr>
          <w:rFonts w:ascii="宋体" w:hAnsi="宋体" w:cs="Arial"/>
          <w:b/>
          <w:color w:val="191919"/>
          <w:sz w:val="28"/>
          <w:szCs w:val="28"/>
          <w:shd w:val="clear" w:color="auto" w:fill="FFFFFF"/>
        </w:rPr>
      </w:pPr>
      <w:r>
        <w:rPr>
          <w:rFonts w:hint="eastAsia" w:ascii="宋体" w:hAnsi="宋体"/>
          <w:sz w:val="28"/>
          <w:szCs w:val="28"/>
        </w:rPr>
        <w:t>为了进一步学习贯彻落实习近平生态文明思想和全国教育大会精神，2019年北京教育论坛拟以</w:t>
      </w:r>
      <w:r>
        <w:rPr>
          <w:rFonts w:hint="eastAsia" w:ascii="宋体" w:hAnsi="宋体"/>
          <w:b/>
          <w:sz w:val="28"/>
          <w:szCs w:val="28"/>
        </w:rPr>
        <w:t>“生态文明教育助力美丽中国建设</w:t>
      </w:r>
      <w:r>
        <w:rPr>
          <w:rFonts w:hint="eastAsia" w:ascii="宋体" w:hAnsi="宋体"/>
          <w:sz w:val="28"/>
          <w:szCs w:val="28"/>
        </w:rPr>
        <w:t>”为主题，研讨我国生态文明教育的理论发展前沿问题与实践创新经验，为更好地发挥教育在推进美丽中国建设进程中的基础性先导作用建言献策。</w:t>
      </w:r>
      <w:r>
        <w:rPr>
          <w:rFonts w:hint="eastAsia" w:ascii="宋体" w:hAnsi="宋体" w:cs="Arial"/>
          <w:b/>
          <w:color w:val="191919"/>
          <w:sz w:val="28"/>
          <w:szCs w:val="28"/>
          <w:shd w:val="clear" w:color="auto" w:fill="FFFFFF"/>
        </w:rPr>
        <w:t>具体议题包括：</w:t>
      </w:r>
    </w:p>
    <w:p>
      <w:pPr>
        <w:ind w:firstLine="700" w:firstLineChars="250"/>
        <w:rPr>
          <w:rFonts w:ascii="宋体" w:hAnsi="宋体" w:cs="宋体"/>
          <w:sz w:val="28"/>
          <w:szCs w:val="28"/>
        </w:rPr>
      </w:pPr>
      <w:r>
        <w:rPr>
          <w:rFonts w:hint="eastAsia" w:ascii="宋体" w:hAnsi="宋体"/>
          <w:sz w:val="28"/>
          <w:szCs w:val="28"/>
        </w:rPr>
        <w:t>（1）</w:t>
      </w:r>
      <w:r>
        <w:rPr>
          <w:rFonts w:hint="eastAsia" w:ascii="宋体" w:hAnsi="宋体" w:cs="宋体"/>
          <w:sz w:val="28"/>
          <w:szCs w:val="28"/>
        </w:rPr>
        <w:t>生态文明的理论创新、实践推进与评价反思；</w:t>
      </w:r>
    </w:p>
    <w:p>
      <w:pPr>
        <w:ind w:firstLine="700" w:firstLineChars="250"/>
        <w:rPr>
          <w:rFonts w:ascii="宋体" w:hAnsi="宋体" w:cs="宋体"/>
          <w:sz w:val="28"/>
          <w:szCs w:val="28"/>
        </w:rPr>
      </w:pPr>
      <w:r>
        <w:rPr>
          <w:rFonts w:hint="eastAsia" w:ascii="宋体" w:hAnsi="宋体" w:cs="宋体"/>
          <w:sz w:val="28"/>
          <w:szCs w:val="28"/>
        </w:rPr>
        <w:t>（2）生态文明教育的战略构想、国际经验与远景展望；</w:t>
      </w:r>
    </w:p>
    <w:p>
      <w:pPr>
        <w:ind w:firstLine="700" w:firstLineChars="250"/>
        <w:rPr>
          <w:rFonts w:ascii="宋体" w:hAnsi="宋体" w:cs="宋体"/>
          <w:sz w:val="28"/>
          <w:szCs w:val="28"/>
        </w:rPr>
      </w:pPr>
      <w:r>
        <w:rPr>
          <w:rFonts w:hint="eastAsia" w:ascii="宋体" w:hAnsi="宋体" w:cs="宋体"/>
          <w:sz w:val="28"/>
          <w:szCs w:val="28"/>
        </w:rPr>
        <w:t>（3）多元视角下的生态文明教育实践分析；</w:t>
      </w:r>
    </w:p>
    <w:p>
      <w:pPr>
        <w:ind w:firstLine="700" w:firstLineChars="250"/>
        <w:rPr>
          <w:rFonts w:ascii="宋体" w:hAnsi="宋体" w:cs="宋体"/>
          <w:sz w:val="28"/>
          <w:szCs w:val="28"/>
        </w:rPr>
      </w:pPr>
      <w:r>
        <w:rPr>
          <w:rFonts w:hint="eastAsia" w:ascii="宋体" w:hAnsi="宋体" w:cs="宋体"/>
          <w:sz w:val="28"/>
          <w:szCs w:val="28"/>
        </w:rPr>
        <w:t>（4）生态文明教育示范区典型案例分享等。</w:t>
      </w:r>
    </w:p>
    <w:p>
      <w:pPr>
        <w:ind w:firstLine="700" w:firstLineChars="250"/>
        <w:rPr>
          <w:rFonts w:ascii="宋体" w:hAnsi="宋体" w:cs="宋体"/>
          <w:sz w:val="28"/>
          <w:szCs w:val="28"/>
        </w:rPr>
      </w:pPr>
    </w:p>
    <w:p>
      <w:pPr>
        <w:ind w:firstLine="700" w:firstLineChars="250"/>
        <w:rPr>
          <w:rFonts w:ascii="宋体" w:hAnsi="宋体" w:cs="宋体"/>
          <w:sz w:val="28"/>
          <w:szCs w:val="28"/>
        </w:rPr>
      </w:pPr>
    </w:p>
    <w:p>
      <w:pPr>
        <w:pStyle w:val="14"/>
        <w:numPr>
          <w:ilvl w:val="0"/>
          <w:numId w:val="1"/>
        </w:numPr>
        <w:ind w:firstLineChars="0"/>
        <w:rPr>
          <w:b/>
          <w:sz w:val="33"/>
          <w:szCs w:val="33"/>
        </w:rPr>
      </w:pPr>
      <w:r>
        <w:rPr>
          <w:rFonts w:hint="eastAsia"/>
          <w:b/>
          <w:sz w:val="33"/>
          <w:szCs w:val="33"/>
        </w:rPr>
        <w:t>论坛背景</w:t>
      </w:r>
    </w:p>
    <w:p>
      <w:pPr>
        <w:rPr>
          <w:sz w:val="29"/>
          <w:szCs w:val="29"/>
        </w:rPr>
      </w:pPr>
      <w:r>
        <w:rPr>
          <w:rFonts w:hint="eastAsia"/>
          <w:b/>
          <w:sz w:val="33"/>
          <w:szCs w:val="33"/>
        </w:rPr>
        <w:t xml:space="preserve"> </w:t>
      </w:r>
      <w:r>
        <w:rPr>
          <w:rFonts w:hint="eastAsia"/>
          <w:sz w:val="29"/>
          <w:szCs w:val="29"/>
        </w:rPr>
        <w:t xml:space="preserve">  北京教育论坛是由北京教育科学研究院发起，与国内外著名教育机构联合举办的年度性学术论坛，每年举办一届，围绕一个主题开展深入探讨。论坛立足北京，面向全国，放眼世界，旨在对教育改革发展中的重大理论和实践问题开展深入研讨，凝聚智慧，寻求共识，为国家和区域教育改革发展提供更为丰富、有力的理论支撑和决策支持，为国内教育界提供高端交流平台，推动教育理论发展与教育实践改进。</w:t>
      </w:r>
    </w:p>
    <w:p>
      <w:pPr>
        <w:ind w:firstLine="580" w:firstLineChars="200"/>
        <w:rPr>
          <w:sz w:val="29"/>
          <w:szCs w:val="29"/>
        </w:rPr>
      </w:pPr>
      <w:r>
        <w:rPr>
          <w:rFonts w:hint="eastAsia"/>
          <w:sz w:val="29"/>
          <w:szCs w:val="29"/>
        </w:rPr>
        <w:t>第六届北京教育论坛由北京教育科学研究院与北京教育学院合作主办，将暂定2019年11 月9日在北京召开，会期一天。届时论坛将邀请国内一流的教育研究专家、相关学者、一线教育工作者及教育行政部门负责人等做主题报告，热忱欢迎全国教科院（所）、高等学校、相关科研机构以及教育行政部门的专家、学者参加。</w:t>
      </w:r>
    </w:p>
    <w:p>
      <w:pPr>
        <w:pStyle w:val="14"/>
        <w:numPr>
          <w:ilvl w:val="0"/>
          <w:numId w:val="1"/>
        </w:numPr>
        <w:ind w:firstLineChars="0"/>
        <w:rPr>
          <w:b/>
          <w:sz w:val="33"/>
          <w:szCs w:val="33"/>
        </w:rPr>
      </w:pPr>
      <w:r>
        <w:rPr>
          <w:rFonts w:hint="eastAsia"/>
          <w:b/>
          <w:sz w:val="33"/>
          <w:szCs w:val="33"/>
        </w:rPr>
        <w:t>会议主办单位</w:t>
      </w:r>
    </w:p>
    <w:p>
      <w:pPr>
        <w:ind w:firstLine="582" w:firstLineChars="200"/>
        <w:rPr>
          <w:sz w:val="29"/>
          <w:szCs w:val="29"/>
        </w:rPr>
      </w:pPr>
      <w:r>
        <w:rPr>
          <w:rFonts w:hint="eastAsia"/>
          <w:b/>
          <w:sz w:val="29"/>
          <w:szCs w:val="29"/>
        </w:rPr>
        <w:t>主办单位</w:t>
      </w:r>
      <w:r>
        <w:rPr>
          <w:rFonts w:hint="eastAsia"/>
          <w:sz w:val="29"/>
          <w:szCs w:val="29"/>
        </w:rPr>
        <w:t>：</w:t>
      </w:r>
    </w:p>
    <w:p>
      <w:pPr>
        <w:pStyle w:val="14"/>
        <w:numPr>
          <w:ilvl w:val="0"/>
          <w:numId w:val="2"/>
        </w:numPr>
        <w:ind w:firstLineChars="0"/>
        <w:rPr>
          <w:sz w:val="29"/>
          <w:szCs w:val="29"/>
        </w:rPr>
      </w:pPr>
      <w:r>
        <w:rPr>
          <w:rFonts w:hint="eastAsia"/>
          <w:sz w:val="29"/>
          <w:szCs w:val="29"/>
        </w:rPr>
        <w:t>北京教育科学研究院</w:t>
      </w:r>
    </w:p>
    <w:p>
      <w:pPr>
        <w:pStyle w:val="14"/>
        <w:numPr>
          <w:ilvl w:val="0"/>
          <w:numId w:val="2"/>
        </w:numPr>
        <w:ind w:firstLineChars="0"/>
        <w:rPr>
          <w:sz w:val="29"/>
          <w:szCs w:val="29"/>
        </w:rPr>
      </w:pPr>
      <w:r>
        <w:rPr>
          <w:rFonts w:hint="eastAsia"/>
          <w:sz w:val="29"/>
          <w:szCs w:val="29"/>
        </w:rPr>
        <w:t>清华大学环境学院</w:t>
      </w:r>
    </w:p>
    <w:p>
      <w:pPr>
        <w:ind w:firstLine="582" w:firstLineChars="200"/>
        <w:rPr>
          <w:b/>
          <w:sz w:val="29"/>
          <w:szCs w:val="29"/>
        </w:rPr>
      </w:pPr>
      <w:r>
        <w:rPr>
          <w:rFonts w:hint="eastAsia"/>
          <w:b/>
          <w:sz w:val="29"/>
          <w:szCs w:val="29"/>
        </w:rPr>
        <w:t>会议时间：2019年11月9日9:00—16:00</w:t>
      </w:r>
    </w:p>
    <w:p>
      <w:pPr>
        <w:ind w:firstLine="582" w:firstLineChars="200"/>
        <w:rPr>
          <w:b/>
          <w:sz w:val="29"/>
          <w:szCs w:val="29"/>
        </w:rPr>
      </w:pPr>
      <w:r>
        <w:rPr>
          <w:rFonts w:hint="eastAsia"/>
          <w:b/>
          <w:sz w:val="29"/>
          <w:szCs w:val="29"/>
        </w:rPr>
        <w:t>会议地点：北京市（酒店名称另行通知）</w:t>
      </w:r>
    </w:p>
    <w:p>
      <w:pPr>
        <w:widowControl/>
        <w:jc w:val="left"/>
        <w:rPr>
          <w:b/>
          <w:sz w:val="29"/>
          <w:szCs w:val="29"/>
        </w:rPr>
      </w:pPr>
      <w:r>
        <w:rPr>
          <w:b/>
          <w:sz w:val="29"/>
          <w:szCs w:val="29"/>
        </w:rPr>
        <w:br w:type="page"/>
      </w:r>
    </w:p>
    <w:p>
      <w:pPr>
        <w:pStyle w:val="14"/>
        <w:numPr>
          <w:ilvl w:val="0"/>
          <w:numId w:val="1"/>
        </w:numPr>
        <w:ind w:firstLineChars="0"/>
        <w:rPr>
          <w:b/>
          <w:sz w:val="33"/>
          <w:szCs w:val="33"/>
        </w:rPr>
      </w:pPr>
      <w:r>
        <w:rPr>
          <w:rFonts w:hint="eastAsia"/>
          <w:b/>
          <w:sz w:val="33"/>
          <w:szCs w:val="33"/>
        </w:rPr>
        <w:t>会议专家介绍</w:t>
      </w:r>
    </w:p>
    <w:p>
      <w:pPr>
        <w:jc w:val="left"/>
        <w:rPr>
          <w:b/>
          <w:sz w:val="22"/>
        </w:rPr>
      </w:pPr>
      <w:r>
        <w:rPr>
          <w:rFonts w:hint="eastAsia"/>
          <w:b/>
          <w:sz w:val="22"/>
        </w:rPr>
        <w:drawing>
          <wp:inline distT="0" distB="0" distL="0" distR="0">
            <wp:extent cx="4572000" cy="8125460"/>
            <wp:effectExtent l="19050" t="0" r="0" b="0"/>
            <wp:docPr id="10" name="图片 9" descr="b4ff3f21-759d-4814-9c71-0f61a023043f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b4ff3f21-759d-4814-9c71-0f61a023043f_0.jpg"/>
                    <pic:cNvPicPr>
                      <a:picLocks noChangeAspect="1"/>
                    </pic:cNvPicPr>
                  </pic:nvPicPr>
                  <pic:blipFill>
                    <a:blip r:embed="rId8" cstate="print"/>
                    <a:stretch>
                      <a:fillRect/>
                    </a:stretch>
                  </pic:blipFill>
                  <pic:spPr>
                    <a:xfrm>
                      <a:off x="0" y="0"/>
                      <a:ext cx="4572000" cy="8125968"/>
                    </a:xfrm>
                    <a:prstGeom prst="rect">
                      <a:avLst/>
                    </a:prstGeom>
                  </pic:spPr>
                </pic:pic>
              </a:graphicData>
            </a:graphic>
          </wp:inline>
        </w:drawing>
      </w:r>
      <w:r>
        <w:rPr>
          <w:rFonts w:hint="eastAsia"/>
          <w:b/>
          <w:sz w:val="22"/>
        </w:rPr>
        <w:t xml:space="preserve">      </w:t>
      </w:r>
    </w:p>
    <w:p>
      <w:pPr>
        <w:jc w:val="left"/>
        <w:rPr>
          <w:b/>
          <w:sz w:val="22"/>
        </w:rPr>
      </w:pPr>
      <w:r>
        <w:rPr>
          <w:rFonts w:hint="eastAsia"/>
          <w:b/>
          <w:sz w:val="22"/>
        </w:rPr>
        <w:drawing>
          <wp:inline distT="0" distB="0" distL="0" distR="0">
            <wp:extent cx="4572000" cy="8125460"/>
            <wp:effectExtent l="19050" t="0" r="0" b="0"/>
            <wp:docPr id="11" name="图片 10" descr="6895987f-309b-4405-8a73-11b28403b27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6895987f-309b-4405-8a73-11b28403b276_0.jpg"/>
                    <pic:cNvPicPr>
                      <a:picLocks noChangeAspect="1"/>
                    </pic:cNvPicPr>
                  </pic:nvPicPr>
                  <pic:blipFill>
                    <a:blip r:embed="rId9" cstate="print"/>
                    <a:stretch>
                      <a:fillRect/>
                    </a:stretch>
                  </pic:blipFill>
                  <pic:spPr>
                    <a:xfrm>
                      <a:off x="0" y="0"/>
                      <a:ext cx="4572000" cy="8125968"/>
                    </a:xfrm>
                    <a:prstGeom prst="rect">
                      <a:avLst/>
                    </a:prstGeom>
                  </pic:spPr>
                </pic:pic>
              </a:graphicData>
            </a:graphic>
          </wp:inline>
        </w:drawing>
      </w:r>
    </w:p>
    <w:p>
      <w:pPr>
        <w:jc w:val="left"/>
        <w:rPr>
          <w:b/>
          <w:sz w:val="22"/>
        </w:rPr>
      </w:pPr>
    </w:p>
    <w:p>
      <w:pPr>
        <w:jc w:val="left"/>
        <w:rPr>
          <w:b/>
          <w:sz w:val="22"/>
        </w:rPr>
      </w:pPr>
    </w:p>
    <w:p>
      <w:pPr>
        <w:pStyle w:val="14"/>
        <w:numPr>
          <w:ilvl w:val="0"/>
          <w:numId w:val="1"/>
        </w:numPr>
        <w:ind w:firstLineChars="0"/>
        <w:rPr>
          <w:b/>
          <w:sz w:val="33"/>
          <w:szCs w:val="33"/>
        </w:rPr>
      </w:pPr>
      <w:r>
        <w:rPr>
          <w:rFonts w:hint="eastAsia"/>
          <w:b/>
          <w:sz w:val="33"/>
          <w:szCs w:val="33"/>
        </w:rPr>
        <w:t>会议论文征集</w:t>
      </w:r>
    </w:p>
    <w:p>
      <w:pPr>
        <w:pStyle w:val="14"/>
        <w:numPr>
          <w:ilvl w:val="0"/>
          <w:numId w:val="3"/>
        </w:numPr>
        <w:ind w:firstLineChars="0"/>
        <w:rPr>
          <w:b/>
          <w:sz w:val="33"/>
          <w:szCs w:val="33"/>
        </w:rPr>
      </w:pPr>
      <w:r>
        <w:rPr>
          <w:rFonts w:hint="eastAsia"/>
          <w:b/>
          <w:sz w:val="33"/>
          <w:szCs w:val="33"/>
        </w:rPr>
        <w:t>论文选题和字数要求</w:t>
      </w:r>
    </w:p>
    <w:p>
      <w:pPr>
        <w:ind w:firstLine="582" w:firstLineChars="200"/>
        <w:rPr>
          <w:rFonts w:ascii="宋体" w:hAnsi="宋体"/>
          <w:sz w:val="29"/>
          <w:szCs w:val="29"/>
        </w:rPr>
      </w:pPr>
      <w:r>
        <w:rPr>
          <w:rFonts w:hint="eastAsia" w:ascii="宋体" w:hAnsi="宋体"/>
          <w:b/>
          <w:sz w:val="29"/>
          <w:szCs w:val="29"/>
        </w:rPr>
        <w:t>请围绕“生态文明教育助力美丽中国建设”主题</w:t>
      </w:r>
      <w:r>
        <w:rPr>
          <w:rFonts w:hint="eastAsia" w:ascii="宋体" w:hAnsi="宋体"/>
          <w:sz w:val="29"/>
          <w:szCs w:val="29"/>
        </w:rPr>
        <w:t>，参考会议的具体议题进行选题。论文字数请控制在10000字以内。</w:t>
      </w:r>
    </w:p>
    <w:p>
      <w:pPr>
        <w:pStyle w:val="14"/>
        <w:numPr>
          <w:ilvl w:val="0"/>
          <w:numId w:val="3"/>
        </w:numPr>
        <w:ind w:firstLineChars="0"/>
        <w:rPr>
          <w:b/>
          <w:sz w:val="33"/>
          <w:szCs w:val="33"/>
        </w:rPr>
      </w:pPr>
      <w:r>
        <w:rPr>
          <w:rFonts w:hint="eastAsia"/>
          <w:b/>
          <w:sz w:val="33"/>
          <w:szCs w:val="33"/>
        </w:rPr>
        <w:t>论文格式</w:t>
      </w:r>
    </w:p>
    <w:p>
      <w:pPr>
        <w:widowControl/>
        <w:pBdr>
          <w:top w:val="single" w:color="auto" w:sz="4" w:space="1"/>
          <w:left w:val="single" w:color="auto" w:sz="4" w:space="4"/>
          <w:bottom w:val="single" w:color="auto" w:sz="4" w:space="1"/>
          <w:right w:val="single" w:color="auto" w:sz="4" w:space="4"/>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kern w:val="0"/>
          <w:sz w:val="29"/>
          <w:szCs w:val="29"/>
        </w:rPr>
      </w:pPr>
      <w:r>
        <w:rPr>
          <w:rFonts w:hint="eastAsia" w:ascii="宋体" w:hAnsi="宋体" w:eastAsia="宋体" w:cs="宋体"/>
          <w:kern w:val="0"/>
          <w:sz w:val="29"/>
          <w:szCs w:val="29"/>
        </w:rPr>
        <w:t>第六届“北京教育论坛”论文</w:t>
      </w:r>
    </w:p>
    <w:p>
      <w:pPr>
        <w:widowControl/>
        <w:pBdr>
          <w:top w:val="single" w:color="auto" w:sz="4" w:space="1"/>
          <w:left w:val="single" w:color="auto" w:sz="4" w:space="4"/>
          <w:bottom w:val="single" w:color="auto" w:sz="4" w:space="1"/>
          <w:right w:val="single" w:color="auto" w:sz="4" w:space="4"/>
        </w:pBdr>
        <w:spacing w:before="100" w:beforeAutospacing="1" w:after="100" w:afterAutospacing="1"/>
        <w:jc w:val="center"/>
        <w:rPr>
          <w:rFonts w:ascii="宋体" w:hAnsi="宋体" w:eastAsia="宋体" w:cs="宋体"/>
          <w:kern w:val="0"/>
          <w:sz w:val="22"/>
        </w:rPr>
      </w:pPr>
      <w:r>
        <w:rPr>
          <w:rFonts w:hint="eastAsia" w:ascii="黑体" w:hAnsi="黑体" w:eastAsia="黑体" w:cs="宋体"/>
          <w:kern w:val="0"/>
          <w:sz w:val="29"/>
          <w:szCs w:val="29"/>
        </w:rPr>
        <w:t>论教育现代化的本质特征</w:t>
      </w:r>
    </w:p>
    <w:p>
      <w:pPr>
        <w:widowControl/>
        <w:pBdr>
          <w:top w:val="single" w:color="auto" w:sz="4" w:space="1"/>
          <w:left w:val="single" w:color="auto" w:sz="4" w:space="4"/>
          <w:bottom w:val="single" w:color="auto" w:sz="4" w:space="1"/>
          <w:right w:val="single" w:color="auto" w:sz="4" w:space="4"/>
        </w:pBdr>
        <w:spacing w:before="100" w:beforeAutospacing="1" w:after="100" w:afterAutospacing="1"/>
        <w:jc w:val="center"/>
        <w:rPr>
          <w:rFonts w:ascii="宋体" w:hAnsi="宋体" w:eastAsia="宋体" w:cs="宋体"/>
          <w:kern w:val="0"/>
          <w:sz w:val="22"/>
        </w:rPr>
      </w:pPr>
      <w:r>
        <w:rPr>
          <w:rFonts w:hint="eastAsia" w:ascii="宋体" w:hAnsi="宋体" w:eastAsia="宋体" w:cs="宋体"/>
          <w:kern w:val="0"/>
          <w:sz w:val="26"/>
          <w:szCs w:val="26"/>
        </w:rPr>
        <w:t>张XX</w:t>
      </w:r>
      <w:r>
        <w:rPr>
          <w:rStyle w:val="13"/>
          <w:rFonts w:ascii="宋体" w:hAnsi="宋体" w:eastAsia="宋体" w:cs="宋体"/>
          <w:kern w:val="0"/>
          <w:sz w:val="26"/>
          <w:szCs w:val="26"/>
        </w:rPr>
        <w:footnoteReference w:id="0"/>
      </w:r>
      <w:r>
        <w:rPr>
          <w:rFonts w:hint="eastAsia" w:ascii="宋体" w:hAnsi="宋体" w:eastAsia="宋体" w:cs="宋体"/>
          <w:kern w:val="0"/>
          <w:position w:val="14"/>
          <w:sz w:val="13"/>
          <w:szCs w:val="13"/>
        </w:rPr>
        <w:br w:type="textWrapping"/>
      </w:r>
      <w:r>
        <w:rPr>
          <w:rFonts w:hint="eastAsia" w:ascii="宋体" w:hAnsi="宋体" w:eastAsia="宋体" w:cs="宋体"/>
          <w:kern w:val="0"/>
          <w:sz w:val="20"/>
          <w:szCs w:val="20"/>
        </w:rPr>
        <w:t>(1.XX 大学教育学院，北京 100048)</w:t>
      </w:r>
    </w:p>
    <w:p>
      <w:pPr>
        <w:widowControl/>
        <w:pBdr>
          <w:top w:val="single" w:color="auto" w:sz="4" w:space="1"/>
          <w:left w:val="single" w:color="auto" w:sz="4" w:space="4"/>
          <w:bottom w:val="single" w:color="auto" w:sz="4" w:space="1"/>
          <w:right w:val="single" w:color="auto" w:sz="4" w:space="4"/>
        </w:pBdr>
        <w:spacing w:before="100" w:beforeAutospacing="1" w:after="100" w:afterAutospacing="1"/>
        <w:jc w:val="center"/>
        <w:rPr>
          <w:rFonts w:ascii="宋体" w:hAnsi="宋体" w:eastAsia="宋体" w:cs="宋体"/>
          <w:kern w:val="0"/>
          <w:sz w:val="22"/>
        </w:rPr>
      </w:pPr>
      <w:r>
        <w:rPr>
          <w:rFonts w:hint="eastAsia" w:ascii="黑体" w:hAnsi="黑体" w:eastAsia="黑体" w:cs="宋体"/>
          <w:kern w:val="0"/>
          <w:sz w:val="28"/>
          <w:szCs w:val="28"/>
        </w:rPr>
        <w:t>摘要</w:t>
      </w:r>
    </w:p>
    <w:p>
      <w:pPr>
        <w:widowControl/>
        <w:pBdr>
          <w:top w:val="single" w:color="auto" w:sz="4" w:space="1"/>
          <w:left w:val="single" w:color="auto" w:sz="4" w:space="4"/>
          <w:bottom w:val="single" w:color="auto" w:sz="4" w:space="1"/>
          <w:right w:val="single" w:color="auto" w:sz="4" w:space="4"/>
        </w:pBdr>
        <w:spacing w:before="100" w:beforeAutospacing="1" w:after="100" w:afterAutospacing="1"/>
        <w:jc w:val="center"/>
        <w:rPr>
          <w:rFonts w:ascii="宋体" w:hAnsi="宋体" w:eastAsia="宋体" w:cs="宋体"/>
          <w:kern w:val="0"/>
          <w:sz w:val="20"/>
          <w:szCs w:val="20"/>
        </w:rPr>
      </w:pPr>
      <w:r>
        <w:rPr>
          <w:rFonts w:hint="eastAsia" w:ascii="宋体" w:hAnsi="宋体" w:eastAsia="宋体" w:cs="宋体"/>
          <w:kern w:val="0"/>
          <w:sz w:val="20"/>
          <w:szCs w:val="20"/>
        </w:rPr>
        <w:t>[请单击此处，然后输入中文摘要内容]</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520" w:firstLineChars="200"/>
        <w:rPr>
          <w:rFonts w:ascii="宋体" w:hAnsi="宋体" w:eastAsia="宋体" w:cs="宋体"/>
          <w:kern w:val="0"/>
          <w:sz w:val="22"/>
        </w:rPr>
      </w:pPr>
      <w:r>
        <w:rPr>
          <w:rFonts w:hint="eastAsia" w:ascii="黑体" w:hAnsi="黑体" w:eastAsia="黑体" w:cs="宋体"/>
          <w:kern w:val="0"/>
          <w:sz w:val="26"/>
          <w:szCs w:val="26"/>
        </w:rPr>
        <w:t>关键词:</w:t>
      </w:r>
      <w:r>
        <w:rPr>
          <w:rFonts w:hint="eastAsia" w:ascii="宋体" w:hAnsi="宋体" w:eastAsia="宋体" w:cs="宋体"/>
          <w:kern w:val="0"/>
          <w:sz w:val="20"/>
          <w:szCs w:val="20"/>
        </w:rPr>
        <w:t>[单击此处，键入 3-8 个关键词，各词之间用全角逗号隔开]</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400" w:firstLineChars="200"/>
        <w:rPr>
          <w:rFonts w:ascii="TimesNewRomanPSMT" w:hAnsi="TimesNewRomanPSMT" w:eastAsia="宋体" w:cs="宋体"/>
          <w:kern w:val="0"/>
          <w:sz w:val="20"/>
          <w:szCs w:val="20"/>
        </w:rPr>
      </w:pPr>
      <w:r>
        <w:rPr>
          <w:rFonts w:ascii="TimesNewRomanPSMT" w:hAnsi="TimesNewRomanPSMT" w:eastAsia="宋体" w:cs="宋体"/>
          <w:kern w:val="0"/>
          <w:sz w:val="20"/>
          <w:szCs w:val="20"/>
        </w:rPr>
        <w:t>[</w:t>
      </w:r>
      <w:r>
        <w:rPr>
          <w:rFonts w:hint="eastAsia" w:ascii="宋体" w:hAnsi="宋体" w:eastAsia="宋体" w:cs="宋体"/>
          <w:kern w:val="0"/>
          <w:sz w:val="20"/>
          <w:szCs w:val="20"/>
        </w:rPr>
        <w:t>单击此处，并输入“前言”或“绪论”内容</w:t>
      </w:r>
      <w:r>
        <w:rPr>
          <w:rFonts w:ascii="TimesNewRomanPSMT" w:hAnsi="TimesNewRomanPSMT" w:eastAsia="宋体" w:cs="宋体"/>
          <w:kern w:val="0"/>
          <w:sz w:val="20"/>
          <w:szCs w:val="20"/>
        </w:rPr>
        <w:t>]</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400" w:firstLineChars="200"/>
        <w:rPr>
          <w:rFonts w:ascii="宋体" w:hAnsi="宋体" w:eastAsia="宋体" w:cs="宋体"/>
          <w:kern w:val="0"/>
          <w:sz w:val="22"/>
        </w:rPr>
      </w:pPr>
      <w:r>
        <w:rPr>
          <w:rFonts w:ascii="TimesNewRomanPSMT" w:hAnsi="TimesNewRomanPSMT" w:eastAsia="宋体" w:cs="宋体"/>
          <w:kern w:val="0"/>
          <w:sz w:val="20"/>
          <w:szCs w:val="20"/>
        </w:rPr>
        <w:t xml:space="preserve"> </w:t>
      </w:r>
      <w:r>
        <w:rPr>
          <w:rFonts w:hint="eastAsia" w:ascii="黑体" w:hAnsi="黑体" w:eastAsia="黑体" w:cs="宋体"/>
          <w:kern w:val="0"/>
          <w:sz w:val="29"/>
          <w:szCs w:val="29"/>
        </w:rPr>
        <w:t xml:space="preserve">一、 一级标题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400" w:firstLineChars="200"/>
        <w:rPr>
          <w:rFonts w:ascii="TimesNewRomanPSMT" w:hAnsi="TimesNewRomanPSMT" w:eastAsia="宋体" w:cs="宋体"/>
          <w:kern w:val="0"/>
          <w:sz w:val="20"/>
          <w:szCs w:val="20"/>
        </w:rPr>
      </w:pPr>
      <w:r>
        <w:rPr>
          <w:rFonts w:ascii="TimesNewRomanPSMT" w:hAnsi="TimesNewRomanPSMT" w:eastAsia="宋体" w:cs="宋体"/>
          <w:kern w:val="0"/>
          <w:sz w:val="20"/>
          <w:szCs w:val="20"/>
        </w:rPr>
        <w:t>[</w:t>
      </w:r>
      <w:r>
        <w:rPr>
          <w:rFonts w:hint="eastAsia" w:ascii="宋体" w:hAnsi="宋体" w:eastAsia="宋体" w:cs="宋体"/>
          <w:kern w:val="0"/>
          <w:sz w:val="20"/>
          <w:szCs w:val="20"/>
        </w:rPr>
        <w:t>单击并输入正文内容</w:t>
      </w:r>
      <w:r>
        <w:rPr>
          <w:rFonts w:ascii="TimesNewRomanPSMT" w:hAnsi="TimesNewRomanPSMT" w:eastAsia="宋体" w:cs="宋体"/>
          <w:kern w:val="0"/>
          <w:sz w:val="20"/>
          <w:szCs w:val="20"/>
        </w:rPr>
        <w:t>]</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400" w:firstLineChars="200"/>
        <w:rPr>
          <w:rFonts w:ascii="宋体" w:hAnsi="宋体" w:eastAsia="宋体" w:cs="宋体"/>
          <w:kern w:val="0"/>
          <w:sz w:val="22"/>
        </w:rPr>
      </w:pPr>
      <w:r>
        <w:rPr>
          <w:rFonts w:ascii="TimesNewRomanPSMT" w:hAnsi="TimesNewRomanPSMT" w:eastAsia="宋体" w:cs="宋体"/>
          <w:kern w:val="0"/>
          <w:sz w:val="20"/>
          <w:szCs w:val="20"/>
        </w:rPr>
        <w:t xml:space="preserve"> </w:t>
      </w:r>
      <w:r>
        <w:rPr>
          <w:rFonts w:ascii="TimesNewRomanPSMT" w:hAnsi="TimesNewRomanPSMT" w:eastAsia="宋体" w:cs="宋体"/>
          <w:kern w:val="0"/>
          <w:sz w:val="28"/>
          <w:szCs w:val="28"/>
        </w:rPr>
        <w:t>(</w:t>
      </w:r>
      <w:r>
        <w:rPr>
          <w:rFonts w:hint="eastAsia" w:ascii="黑体" w:hAnsi="黑体" w:eastAsia="黑体" w:cs="宋体"/>
          <w:kern w:val="0"/>
          <w:sz w:val="28"/>
          <w:szCs w:val="28"/>
        </w:rPr>
        <w:t>一</w:t>
      </w:r>
      <w:r>
        <w:rPr>
          <w:rFonts w:ascii="TimesNewRomanPSMT" w:hAnsi="TimesNewRomanPSMT" w:eastAsia="宋体" w:cs="宋体"/>
          <w:kern w:val="0"/>
          <w:sz w:val="28"/>
          <w:szCs w:val="28"/>
        </w:rPr>
        <w:t xml:space="preserve">) </w:t>
      </w:r>
      <w:r>
        <w:rPr>
          <w:rFonts w:hint="eastAsia" w:ascii="黑体" w:hAnsi="黑体" w:eastAsia="黑体" w:cs="宋体"/>
          <w:kern w:val="0"/>
          <w:sz w:val="28"/>
          <w:szCs w:val="28"/>
        </w:rPr>
        <w:t xml:space="preserve">二级标题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400" w:firstLineChars="200"/>
        <w:rPr>
          <w:rFonts w:ascii="TimesNewRomanPSMT" w:hAnsi="TimesNewRomanPSMT" w:eastAsia="宋体" w:cs="宋体"/>
          <w:kern w:val="0"/>
          <w:sz w:val="20"/>
          <w:szCs w:val="20"/>
        </w:rPr>
      </w:pPr>
      <w:r>
        <w:rPr>
          <w:rFonts w:ascii="TimesNewRomanPSMT" w:hAnsi="TimesNewRomanPSMT" w:eastAsia="宋体" w:cs="宋体"/>
          <w:kern w:val="0"/>
          <w:sz w:val="20"/>
          <w:szCs w:val="20"/>
        </w:rPr>
        <w:t>[</w:t>
      </w:r>
      <w:r>
        <w:rPr>
          <w:rFonts w:hint="eastAsia" w:ascii="宋体" w:hAnsi="宋体" w:eastAsia="宋体" w:cs="宋体"/>
          <w:kern w:val="0"/>
          <w:sz w:val="20"/>
          <w:szCs w:val="20"/>
        </w:rPr>
        <w:t>单击并输入正文内容</w:t>
      </w:r>
      <w:r>
        <w:rPr>
          <w:rFonts w:ascii="TimesNewRomanPSMT" w:hAnsi="TimesNewRomanPSMT" w:eastAsia="宋体" w:cs="宋体"/>
          <w:kern w:val="0"/>
          <w:sz w:val="20"/>
          <w:szCs w:val="20"/>
        </w:rPr>
        <w:t xml:space="preserve">]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560" w:firstLineChars="200"/>
        <w:rPr>
          <w:rFonts w:ascii="宋体" w:hAnsi="宋体" w:eastAsia="宋体" w:cs="宋体"/>
          <w:kern w:val="0"/>
          <w:sz w:val="22"/>
        </w:rPr>
      </w:pPr>
      <w:r>
        <w:rPr>
          <w:rFonts w:ascii="TimesNewRomanPSMT" w:hAnsi="TimesNewRomanPSMT" w:eastAsia="宋体" w:cs="宋体"/>
          <w:kern w:val="0"/>
          <w:sz w:val="28"/>
          <w:szCs w:val="28"/>
        </w:rPr>
        <w:t>1.</w:t>
      </w:r>
      <w:r>
        <w:rPr>
          <w:rFonts w:hint="eastAsia" w:ascii="黑体" w:hAnsi="黑体" w:eastAsia="黑体" w:cs="宋体"/>
          <w:kern w:val="0"/>
          <w:sz w:val="28"/>
          <w:szCs w:val="28"/>
        </w:rPr>
        <w:t xml:space="preserve">三级标题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400" w:firstLineChars="200"/>
        <w:rPr>
          <w:rFonts w:ascii="TimesNewRomanPSMT" w:hAnsi="TimesNewRomanPSMT" w:eastAsia="宋体" w:cs="宋体"/>
          <w:kern w:val="0"/>
          <w:sz w:val="20"/>
          <w:szCs w:val="20"/>
        </w:rPr>
      </w:pPr>
      <w:r>
        <w:rPr>
          <w:rFonts w:ascii="TimesNewRomanPSMT" w:hAnsi="TimesNewRomanPSMT" w:eastAsia="宋体" w:cs="宋体"/>
          <w:kern w:val="0"/>
          <w:sz w:val="20"/>
          <w:szCs w:val="20"/>
        </w:rPr>
        <w:t>[</w:t>
      </w:r>
      <w:r>
        <w:rPr>
          <w:rFonts w:hint="eastAsia" w:ascii="宋体" w:hAnsi="宋体" w:eastAsia="宋体" w:cs="宋体"/>
          <w:kern w:val="0"/>
          <w:sz w:val="20"/>
          <w:szCs w:val="20"/>
        </w:rPr>
        <w:t>单击并输入正文内容</w:t>
      </w:r>
      <w:r>
        <w:rPr>
          <w:rFonts w:ascii="TimesNewRomanPSMT" w:hAnsi="TimesNewRomanPSMT" w:eastAsia="宋体" w:cs="宋体"/>
          <w:kern w:val="0"/>
          <w:sz w:val="20"/>
          <w:szCs w:val="20"/>
        </w:rPr>
        <w:t xml:space="preserve">] </w:t>
      </w:r>
    </w:p>
    <w:p>
      <w:pPr>
        <w:pStyle w:val="14"/>
        <w:widowControl/>
        <w:numPr>
          <w:ilvl w:val="0"/>
          <w:numId w:val="4"/>
        </w:numPr>
        <w:pBdr>
          <w:top w:val="single" w:color="auto" w:sz="4" w:space="1"/>
          <w:left w:val="single" w:color="auto" w:sz="4" w:space="4"/>
          <w:bottom w:val="single" w:color="auto" w:sz="4" w:space="1"/>
          <w:right w:val="single" w:color="auto" w:sz="4" w:space="4"/>
        </w:pBdr>
        <w:spacing w:before="100" w:beforeAutospacing="1" w:after="100" w:afterAutospacing="1"/>
        <w:ind w:left="0" w:firstLine="520"/>
        <w:rPr>
          <w:rFonts w:ascii="黑体" w:hAnsi="黑体" w:eastAsia="黑体" w:cs="宋体"/>
          <w:kern w:val="0"/>
          <w:sz w:val="26"/>
          <w:szCs w:val="26"/>
        </w:rPr>
      </w:pPr>
      <w:r>
        <w:rPr>
          <w:rFonts w:hint="eastAsia" w:ascii="黑体" w:hAnsi="黑体" w:eastAsia="黑体" w:cs="宋体"/>
          <w:kern w:val="0"/>
          <w:sz w:val="26"/>
          <w:szCs w:val="26"/>
        </w:rPr>
        <w:t>四级标题</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380" w:firstLineChars="190"/>
        <w:rPr>
          <w:rFonts w:ascii="宋体" w:hAnsi="宋体" w:eastAsia="宋体" w:cs="宋体"/>
          <w:kern w:val="0"/>
          <w:sz w:val="22"/>
        </w:rPr>
      </w:pPr>
      <w:r>
        <w:rPr>
          <w:rFonts w:ascii="TimesNewRomanPSMT" w:hAnsi="TimesNewRomanPSMT" w:eastAsia="宋体" w:cs="宋体"/>
          <w:kern w:val="0"/>
          <w:sz w:val="20"/>
          <w:szCs w:val="20"/>
        </w:rPr>
        <w:t>[</w:t>
      </w:r>
      <w:r>
        <w:rPr>
          <w:rFonts w:hint="eastAsia" w:ascii="宋体" w:hAnsi="宋体" w:eastAsia="宋体" w:cs="宋体"/>
          <w:kern w:val="0"/>
          <w:sz w:val="20"/>
          <w:szCs w:val="20"/>
        </w:rPr>
        <w:t>单击并输入正文内容</w:t>
      </w:r>
      <w:r>
        <w:rPr>
          <w:rFonts w:ascii="TimesNewRomanPSMT" w:hAnsi="TimesNewRomanPSMT" w:eastAsia="宋体" w:cs="宋体"/>
          <w:kern w:val="0"/>
          <w:sz w:val="20"/>
          <w:szCs w:val="20"/>
        </w:rPr>
        <w:t xml:space="preserve">]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ind w:firstLine="290" w:firstLineChars="100"/>
        <w:jc w:val="left"/>
        <w:rPr>
          <w:rFonts w:ascii="宋体" w:hAnsi="宋体" w:eastAsia="宋体" w:cs="宋体"/>
          <w:kern w:val="0"/>
          <w:sz w:val="22"/>
        </w:rPr>
      </w:pPr>
      <w:r>
        <w:rPr>
          <w:rFonts w:hint="eastAsia" w:ascii="黑体" w:hAnsi="黑体" w:eastAsia="黑体" w:cs="宋体"/>
          <w:kern w:val="0"/>
          <w:sz w:val="29"/>
          <w:szCs w:val="29"/>
        </w:rPr>
        <w:t xml:space="preserve">参考文献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2"/>
        </w:rPr>
      </w:pPr>
      <w:r>
        <w:rPr>
          <w:rFonts w:hint="eastAsia" w:ascii="宋体" w:hAnsi="宋体" w:eastAsia="宋体" w:cs="宋体"/>
          <w:kern w:val="0"/>
          <w:sz w:val="20"/>
          <w:szCs w:val="20"/>
        </w:rPr>
        <w:t xml:space="preserve">(文献类型标识:专著 </w:t>
      </w:r>
      <w:r>
        <w:rPr>
          <w:rFonts w:ascii="TimesNewRomanPSMT" w:hAnsi="TimesNewRomanPSMT" w:eastAsia="宋体" w:cs="宋体"/>
          <w:kern w:val="0"/>
          <w:sz w:val="20"/>
          <w:szCs w:val="20"/>
        </w:rPr>
        <w:t>M</w:t>
      </w:r>
      <w:r>
        <w:rPr>
          <w:rFonts w:hint="eastAsia" w:ascii="宋体" w:hAnsi="宋体" w:eastAsia="宋体" w:cs="宋体"/>
          <w:kern w:val="0"/>
          <w:sz w:val="20"/>
          <w:szCs w:val="20"/>
        </w:rPr>
        <w:t>;期刊文章</w:t>
      </w:r>
      <w:r>
        <w:rPr>
          <w:rFonts w:ascii="TimesNewRomanPSMT" w:hAnsi="TimesNewRomanPSMT" w:eastAsia="宋体" w:cs="宋体"/>
          <w:kern w:val="0"/>
          <w:sz w:val="20"/>
          <w:szCs w:val="20"/>
        </w:rPr>
        <w:t>J</w:t>
      </w:r>
      <w:r>
        <w:rPr>
          <w:rFonts w:hint="eastAsia" w:ascii="宋体" w:hAnsi="宋体" w:eastAsia="宋体" w:cs="宋体"/>
          <w:kern w:val="0"/>
          <w:sz w:val="20"/>
          <w:szCs w:val="20"/>
        </w:rPr>
        <w:t>;论文集</w:t>
      </w:r>
      <w:r>
        <w:rPr>
          <w:rFonts w:ascii="TimesNewRomanPSMT" w:hAnsi="TimesNewRomanPSMT" w:eastAsia="宋体" w:cs="宋体"/>
          <w:kern w:val="0"/>
          <w:sz w:val="20"/>
          <w:szCs w:val="20"/>
        </w:rPr>
        <w:t>C</w:t>
      </w:r>
      <w:r>
        <w:rPr>
          <w:rFonts w:hint="eastAsia" w:ascii="宋体" w:hAnsi="宋体" w:eastAsia="宋体" w:cs="宋体"/>
          <w:kern w:val="0"/>
          <w:sz w:val="20"/>
          <w:szCs w:val="20"/>
        </w:rPr>
        <w:t>;报纸文章</w:t>
      </w:r>
      <w:r>
        <w:rPr>
          <w:rFonts w:ascii="TimesNewRomanPSMT" w:hAnsi="TimesNewRomanPSMT" w:eastAsia="宋体" w:cs="宋体"/>
          <w:kern w:val="0"/>
          <w:sz w:val="20"/>
          <w:szCs w:val="20"/>
        </w:rPr>
        <w:t>N</w:t>
      </w:r>
      <w:r>
        <w:rPr>
          <w:rFonts w:hint="eastAsia" w:ascii="宋体" w:hAnsi="宋体" w:eastAsia="宋体" w:cs="宋体"/>
          <w:kern w:val="0"/>
          <w:sz w:val="20"/>
          <w:szCs w:val="20"/>
        </w:rPr>
        <w:t>;学位论文</w:t>
      </w:r>
      <w:r>
        <w:rPr>
          <w:rFonts w:ascii="TimesNewRomanPSMT" w:hAnsi="TimesNewRomanPSMT" w:eastAsia="宋体" w:cs="宋体"/>
          <w:kern w:val="0"/>
          <w:sz w:val="20"/>
          <w:szCs w:val="20"/>
        </w:rPr>
        <w:t>D</w:t>
      </w:r>
      <w:r>
        <w:rPr>
          <w:rFonts w:hint="eastAsia" w:ascii="宋体" w:hAnsi="宋体" w:eastAsia="宋体" w:cs="宋体"/>
          <w:kern w:val="0"/>
          <w:sz w:val="20"/>
          <w:szCs w:val="20"/>
        </w:rPr>
        <w:t>;报告</w:t>
      </w:r>
      <w:r>
        <w:rPr>
          <w:rFonts w:ascii="TimesNewRomanPSMT" w:hAnsi="TimesNewRomanPSMT" w:eastAsia="宋体" w:cs="宋体"/>
          <w:kern w:val="0"/>
          <w:sz w:val="20"/>
          <w:szCs w:val="20"/>
        </w:rPr>
        <w:t>R</w:t>
      </w:r>
      <w:r>
        <w:rPr>
          <w:rFonts w:hint="eastAsia" w:ascii="宋体" w:hAnsi="宋体" w:eastAsia="宋体" w:cs="宋体"/>
          <w:kern w:val="0"/>
          <w:sz w:val="20"/>
          <w:szCs w:val="20"/>
        </w:rPr>
        <w:t xml:space="preserve">;标准 </w:t>
      </w:r>
      <w:r>
        <w:rPr>
          <w:rFonts w:ascii="TimesNewRomanPSMT" w:hAnsi="TimesNewRomanPSMT" w:eastAsia="宋体" w:cs="宋体"/>
          <w:kern w:val="0"/>
          <w:sz w:val="20"/>
          <w:szCs w:val="20"/>
        </w:rPr>
        <w:t>S</w:t>
      </w:r>
      <w:r>
        <w:rPr>
          <w:rFonts w:hint="eastAsia" w:ascii="宋体" w:hAnsi="宋体" w:eastAsia="宋体" w:cs="宋体"/>
          <w:kern w:val="0"/>
          <w:sz w:val="20"/>
          <w:szCs w:val="20"/>
        </w:rPr>
        <w:t>;专利</w:t>
      </w:r>
      <w:r>
        <w:rPr>
          <w:rFonts w:ascii="TimesNewRomanPSMT" w:hAnsi="TimesNewRomanPSMT" w:eastAsia="宋体" w:cs="宋体"/>
          <w:kern w:val="0"/>
          <w:sz w:val="20"/>
          <w:szCs w:val="20"/>
        </w:rPr>
        <w:t>P</w:t>
      </w:r>
      <w:r>
        <w:rPr>
          <w:rFonts w:hint="eastAsia" w:ascii="宋体" w:hAnsi="宋体" w:eastAsia="宋体" w:cs="宋体"/>
          <w:kern w:val="0"/>
          <w:sz w:val="20"/>
          <w:szCs w:val="20"/>
        </w:rPr>
        <w:t xml:space="preserve">)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请按下列例子的格式输入参考文献:</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1.茅于轼.择优分配原理[</w:t>
      </w:r>
      <w:r>
        <w:rPr>
          <w:rFonts w:ascii="TimesNewRomanPSMT" w:hAnsi="TimesNewRomanPSMT" w:eastAsia="宋体" w:cs="宋体"/>
          <w:kern w:val="0"/>
          <w:sz w:val="20"/>
          <w:szCs w:val="20"/>
        </w:rPr>
        <w:t>M</w:t>
      </w:r>
      <w:r>
        <w:rPr>
          <w:rFonts w:hint="eastAsia" w:ascii="宋体" w:hAnsi="宋体" w:eastAsia="宋体" w:cs="宋体"/>
          <w:kern w:val="0"/>
          <w:sz w:val="20"/>
          <w:szCs w:val="20"/>
        </w:rPr>
        <w:t>].北京:商务印书馆，1998:35.</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2.张振助等.高等教育大发展的国际经验及启示[</w:t>
      </w:r>
      <w:r>
        <w:rPr>
          <w:rFonts w:ascii="TimesNewRomanPSMT" w:hAnsi="TimesNewRomanPSMT" w:eastAsia="宋体" w:cs="宋体"/>
          <w:kern w:val="0"/>
          <w:sz w:val="20"/>
          <w:szCs w:val="20"/>
        </w:rPr>
        <w:t>J</w:t>
      </w:r>
      <w:r>
        <w:rPr>
          <w:rFonts w:hint="eastAsia" w:ascii="宋体" w:hAnsi="宋体" w:eastAsia="宋体" w:cs="宋体"/>
          <w:kern w:val="0"/>
          <w:sz w:val="20"/>
          <w:szCs w:val="20"/>
        </w:rPr>
        <w:t>].外国教育研究，2003，(4): 35-39.</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3.谢希德. 创造学习的新思路[</w:t>
      </w:r>
      <w:r>
        <w:rPr>
          <w:rFonts w:ascii="TimesNewRomanPSMT" w:hAnsi="TimesNewRomanPSMT" w:eastAsia="宋体" w:cs="宋体"/>
          <w:kern w:val="0"/>
          <w:sz w:val="20"/>
          <w:szCs w:val="20"/>
        </w:rPr>
        <w:t>N</w:t>
      </w:r>
      <w:r>
        <w:rPr>
          <w:rFonts w:hint="eastAsia" w:ascii="宋体" w:hAnsi="宋体" w:eastAsia="宋体" w:cs="宋体"/>
          <w:kern w:val="0"/>
          <w:sz w:val="20"/>
          <w:szCs w:val="20"/>
        </w:rPr>
        <w:t xml:space="preserve">].人民日报，1998-12-25(10).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4.庄淑幸.园长时间管理及其有效性研究[</w:t>
      </w:r>
      <w:r>
        <w:rPr>
          <w:rFonts w:ascii="TimesNewRomanPSMT" w:hAnsi="TimesNewRomanPSMT" w:eastAsia="宋体" w:cs="宋体"/>
          <w:kern w:val="0"/>
          <w:sz w:val="20"/>
          <w:szCs w:val="20"/>
        </w:rPr>
        <w:t>D</w:t>
      </w:r>
      <w:r>
        <w:rPr>
          <w:rFonts w:hint="eastAsia" w:ascii="宋体" w:hAnsi="宋体" w:eastAsia="宋体" w:cs="宋体"/>
          <w:kern w:val="0"/>
          <w:sz w:val="20"/>
          <w:szCs w:val="20"/>
        </w:rPr>
        <w:t>].华东:华东师范大学，2007:15.</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5.冯西桥.核反应堆压力容器的 LBB 分析[[</w:t>
      </w:r>
      <w:r>
        <w:rPr>
          <w:rFonts w:ascii="TimesNewRomanPSMT" w:hAnsi="TimesNewRomanPSMT" w:eastAsia="宋体" w:cs="宋体"/>
          <w:kern w:val="0"/>
          <w:sz w:val="20"/>
          <w:szCs w:val="20"/>
        </w:rPr>
        <w:t>R</w:t>
      </w:r>
      <w:r>
        <w:rPr>
          <w:rFonts w:hint="eastAsia" w:ascii="宋体" w:hAnsi="宋体" w:eastAsia="宋体" w:cs="宋体"/>
          <w:kern w:val="0"/>
          <w:sz w:val="20"/>
          <w:szCs w:val="20"/>
        </w:rPr>
        <w:t xml:space="preserve">].北京:清华大学核能技术设计研究院，1997. </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6.GB/T 16159-1996，汉语拼音正词法基本规则[</w:t>
      </w:r>
      <w:r>
        <w:rPr>
          <w:rFonts w:ascii="TimesNewRomanPSMT" w:hAnsi="TimesNewRomanPSMT" w:eastAsia="宋体" w:cs="宋体"/>
          <w:kern w:val="0"/>
          <w:sz w:val="20"/>
          <w:szCs w:val="20"/>
        </w:rPr>
        <w:t>S</w:t>
      </w:r>
      <w:r>
        <w:rPr>
          <w:rFonts w:hint="eastAsia" w:ascii="宋体" w:hAnsi="宋体" w:eastAsia="宋体" w:cs="宋体"/>
          <w:kern w:val="0"/>
          <w:sz w:val="20"/>
          <w:szCs w:val="20"/>
        </w:rPr>
        <w:t>].</w:t>
      </w:r>
    </w:p>
    <w:p>
      <w:pPr>
        <w:widowControl/>
        <w:pBdr>
          <w:top w:val="single" w:color="auto" w:sz="4" w:space="1"/>
          <w:left w:val="single" w:color="auto" w:sz="4" w:space="4"/>
          <w:bottom w:val="single" w:color="auto" w:sz="4" w:space="1"/>
          <w:right w:val="single" w:color="auto" w:sz="4" w:space="4"/>
        </w:pBdr>
        <w:spacing w:before="100" w:beforeAutospacing="1" w:after="100" w:afterAutospacing="1"/>
        <w:rPr>
          <w:rFonts w:ascii="宋体" w:hAnsi="宋体" w:eastAsia="宋体" w:cs="宋体"/>
          <w:kern w:val="0"/>
          <w:sz w:val="20"/>
          <w:szCs w:val="20"/>
        </w:rPr>
      </w:pPr>
      <w:r>
        <w:rPr>
          <w:rFonts w:hint="eastAsia" w:ascii="宋体" w:hAnsi="宋体" w:eastAsia="宋体" w:cs="宋体"/>
          <w:kern w:val="0"/>
          <w:sz w:val="20"/>
          <w:szCs w:val="20"/>
        </w:rPr>
        <w:t>7.姜锡洲. 一种温热外敷药制备方案[</w:t>
      </w:r>
      <w:r>
        <w:rPr>
          <w:rFonts w:ascii="TimesNewRomanPSMT" w:hAnsi="TimesNewRomanPSMT" w:eastAsia="宋体" w:cs="宋体"/>
          <w:kern w:val="0"/>
          <w:sz w:val="20"/>
          <w:szCs w:val="20"/>
        </w:rPr>
        <w:t>P</w:t>
      </w:r>
      <w:r>
        <w:rPr>
          <w:rFonts w:hint="eastAsia" w:ascii="宋体" w:hAnsi="宋体" w:eastAsia="宋体" w:cs="宋体"/>
          <w:kern w:val="0"/>
          <w:sz w:val="20"/>
          <w:szCs w:val="20"/>
        </w:rPr>
        <w:t>].中国专利:881056073，1989-07-26.</w:t>
      </w:r>
    </w:p>
    <w:p>
      <w:pPr>
        <w:pStyle w:val="14"/>
        <w:numPr>
          <w:ilvl w:val="0"/>
          <w:numId w:val="3"/>
        </w:numPr>
        <w:ind w:firstLineChars="0"/>
        <w:rPr>
          <w:b/>
          <w:sz w:val="33"/>
          <w:szCs w:val="33"/>
        </w:rPr>
      </w:pPr>
      <w:r>
        <w:rPr>
          <w:rFonts w:hint="eastAsia"/>
          <w:b/>
          <w:sz w:val="33"/>
          <w:szCs w:val="33"/>
        </w:rPr>
        <w:t>论文提交</w:t>
      </w:r>
    </w:p>
    <w:p>
      <w:pPr>
        <w:ind w:firstLine="580" w:firstLineChars="200"/>
        <w:rPr>
          <w:sz w:val="29"/>
          <w:szCs w:val="29"/>
        </w:rPr>
      </w:pPr>
      <w:r>
        <w:rPr>
          <w:rFonts w:hint="eastAsia"/>
          <w:sz w:val="29"/>
          <w:szCs w:val="29"/>
        </w:rPr>
        <w:t>会议论文请于9月30日前提交，以电子邮件方式发至论坛秘书处邮箱：</w:t>
      </w:r>
      <w:r>
        <w:fldChar w:fldCharType="begin"/>
      </w:r>
      <w:r>
        <w:instrText xml:space="preserve"> HYPERLINK "mailto:sftangcn@sina.com" </w:instrText>
      </w:r>
      <w:r>
        <w:fldChar w:fldCharType="separate"/>
      </w:r>
      <w:r>
        <w:rPr>
          <w:rFonts w:hint="eastAsia"/>
          <w:sz w:val="29"/>
          <w:szCs w:val="29"/>
          <w:u w:val="single"/>
        </w:rPr>
        <w:t>sftangcn@sina.com</w:t>
      </w:r>
      <w:r>
        <w:rPr>
          <w:rFonts w:hint="eastAsia"/>
          <w:sz w:val="29"/>
          <w:szCs w:val="29"/>
          <w:u w:val="single"/>
        </w:rPr>
        <w:fldChar w:fldCharType="end"/>
      </w:r>
      <w:r>
        <w:rPr>
          <w:rFonts w:hint="eastAsia"/>
          <w:sz w:val="29"/>
          <w:szCs w:val="29"/>
        </w:rPr>
        <w:t>。</w:t>
      </w: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ind w:firstLine="560" w:firstLineChars="200"/>
        <w:rPr>
          <w:rFonts w:ascii="宋体" w:hAnsi="宋体"/>
          <w:sz w:val="28"/>
          <w:szCs w:val="28"/>
        </w:rPr>
      </w:pPr>
    </w:p>
    <w:p>
      <w:pPr>
        <w:pStyle w:val="14"/>
        <w:numPr>
          <w:ilvl w:val="0"/>
          <w:numId w:val="1"/>
        </w:numPr>
        <w:ind w:firstLineChars="0"/>
        <w:rPr>
          <w:b/>
          <w:sz w:val="33"/>
          <w:szCs w:val="33"/>
        </w:rPr>
      </w:pPr>
      <w:r>
        <w:rPr>
          <w:rFonts w:hint="eastAsia"/>
          <w:b/>
          <w:sz w:val="33"/>
          <w:szCs w:val="33"/>
        </w:rPr>
        <w:t>会议报名</w:t>
      </w:r>
    </w:p>
    <w:p>
      <w:pPr>
        <w:rPr>
          <w:b/>
          <w:sz w:val="29"/>
          <w:szCs w:val="29"/>
        </w:rPr>
      </w:pPr>
      <w:r>
        <w:rPr>
          <w:rFonts w:hint="eastAsia"/>
          <w:b/>
          <w:sz w:val="29"/>
          <w:szCs w:val="29"/>
        </w:rPr>
        <w:t>（一）邮件形式登记（确认参与回执）：</w:t>
      </w:r>
    </w:p>
    <w:p>
      <w:pPr>
        <w:ind w:firstLine="580" w:firstLineChars="200"/>
        <w:rPr>
          <w:rFonts w:ascii="宋体" w:hAnsi="宋体"/>
          <w:sz w:val="28"/>
          <w:szCs w:val="28"/>
        </w:rPr>
      </w:pPr>
      <w:r>
        <w:rPr>
          <w:rFonts w:hint="eastAsia"/>
          <w:sz w:val="29"/>
          <w:szCs w:val="29"/>
        </w:rPr>
        <w:t>参会人员将参会人信息填写至表1，将表格内容发送至邮箱：</w:t>
      </w:r>
      <w:r>
        <w:fldChar w:fldCharType="begin"/>
      </w:r>
      <w:r>
        <w:instrText xml:space="preserve"> HYPERLINK "mailto:bjjkykhc@163.com" </w:instrText>
      </w:r>
      <w:r>
        <w:fldChar w:fldCharType="separate"/>
      </w:r>
      <w:r>
        <w:rPr>
          <w:rStyle w:val="11"/>
          <w:rFonts w:hint="eastAsia"/>
          <w:sz w:val="29"/>
          <w:szCs w:val="29"/>
        </w:rPr>
        <w:t>bjjkykhc@163.com</w:t>
      </w:r>
      <w:r>
        <w:rPr>
          <w:rStyle w:val="11"/>
          <w:rFonts w:hint="eastAsia"/>
          <w:sz w:val="29"/>
          <w:szCs w:val="29"/>
        </w:rPr>
        <w:fldChar w:fldCharType="end"/>
      </w:r>
      <w:r>
        <w:rPr>
          <w:rFonts w:hint="eastAsia"/>
          <w:sz w:val="19"/>
          <w:szCs w:val="19"/>
        </w:rPr>
        <w:t>，</w:t>
      </w:r>
      <w:r>
        <w:rPr>
          <w:rFonts w:hint="eastAsia" w:ascii="宋体" w:hAnsi="宋体"/>
          <w:sz w:val="28"/>
          <w:szCs w:val="28"/>
        </w:rPr>
        <w:t>邮件主题为“北京教育论坛</w:t>
      </w:r>
      <w:r>
        <w:rPr>
          <w:rFonts w:ascii="宋体" w:hAnsi="宋体"/>
          <w:sz w:val="28"/>
          <w:szCs w:val="28"/>
        </w:rPr>
        <w:t>XXX</w:t>
      </w:r>
      <w:r>
        <w:rPr>
          <w:rFonts w:hint="eastAsia" w:ascii="宋体" w:hAnsi="宋体"/>
          <w:sz w:val="28"/>
          <w:szCs w:val="28"/>
        </w:rPr>
        <w:t>参会回执”。</w:t>
      </w:r>
    </w:p>
    <w:p>
      <w:pPr>
        <w:rPr>
          <w:sz w:val="29"/>
          <w:szCs w:val="29"/>
        </w:rPr>
      </w:pPr>
      <w:r>
        <w:rPr>
          <w:rFonts w:hint="eastAsia" w:ascii="宋体" w:hAnsi="宋体"/>
          <w:b/>
          <w:color w:val="000000"/>
          <w:sz w:val="33"/>
          <w:szCs w:val="33"/>
        </w:rPr>
        <w:t>表1：</w:t>
      </w:r>
    </w:p>
    <w:p>
      <w:pPr>
        <w:spacing w:line="360" w:lineRule="auto"/>
        <w:ind w:left="-197" w:leftChars="-94"/>
        <w:rPr>
          <w:rFonts w:ascii="仿宋" w:hAnsi="仿宋" w:eastAsia="仿宋"/>
          <w:sz w:val="29"/>
          <w:szCs w:val="29"/>
        </w:rPr>
      </w:pPr>
      <w:r>
        <w:rPr>
          <w:rFonts w:hint="eastAsia" w:ascii="宋体" w:hAnsi="宋体"/>
          <w:b/>
          <w:color w:val="000000"/>
          <w:sz w:val="33"/>
          <w:szCs w:val="33"/>
        </w:rPr>
        <w:t>北京教科院2019年第六届“北京教育论坛”参会回执</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50"/>
        <w:gridCol w:w="1329"/>
        <w:gridCol w:w="1648"/>
        <w:gridCol w:w="1276"/>
        <w:gridCol w:w="1275"/>
        <w:gridCol w:w="18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4" w:hRule="exact"/>
          <w:jc w:val="center"/>
        </w:trPr>
        <w:tc>
          <w:tcPr>
            <w:tcW w:w="1650"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单位名称</w:t>
            </w:r>
          </w:p>
        </w:tc>
        <w:tc>
          <w:tcPr>
            <w:tcW w:w="7404" w:type="dxa"/>
            <w:gridSpan w:val="5"/>
            <w:shd w:val="clear" w:color="auto" w:fill="FFFFFF"/>
            <w:vAlign w:val="center"/>
          </w:tcPr>
          <w:p>
            <w:pPr>
              <w:adjustRightInd w:val="0"/>
              <w:snapToGrid w:val="0"/>
              <w:spacing w:line="360" w:lineRule="exact"/>
              <w:ind w:right="840"/>
              <w:rPr>
                <w:rFonts w:ascii="仿宋" w:hAnsi="仿宋" w:eastAsia="仿宋" w:cs="宋体"/>
                <w:color w:val="000000"/>
                <w:kern w:val="0"/>
                <w:sz w:val="26"/>
                <w:szCs w:val="26"/>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98" w:hRule="exact"/>
          <w:jc w:val="center"/>
        </w:trPr>
        <w:tc>
          <w:tcPr>
            <w:tcW w:w="1650"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地    址</w:t>
            </w:r>
          </w:p>
        </w:tc>
        <w:tc>
          <w:tcPr>
            <w:tcW w:w="4253" w:type="dxa"/>
            <w:gridSpan w:val="3"/>
            <w:tcBorders>
              <w:right w:val="single" w:color="auto" w:sz="4" w:space="0"/>
            </w:tcBorders>
            <w:shd w:val="clear" w:color="auto" w:fill="FFFFFF"/>
            <w:vAlign w:val="center"/>
          </w:tcPr>
          <w:p>
            <w:pPr>
              <w:adjustRightInd w:val="0"/>
              <w:snapToGrid w:val="0"/>
              <w:spacing w:line="360" w:lineRule="exact"/>
              <w:ind w:right="420"/>
              <w:rPr>
                <w:rFonts w:ascii="仿宋" w:hAnsi="仿宋" w:eastAsia="仿宋" w:cs="宋体"/>
                <w:color w:val="000000"/>
                <w:kern w:val="0"/>
                <w:sz w:val="26"/>
                <w:szCs w:val="26"/>
              </w:rPr>
            </w:pPr>
          </w:p>
          <w:p>
            <w:pPr>
              <w:adjustRightInd w:val="0"/>
              <w:snapToGrid w:val="0"/>
              <w:spacing w:line="360" w:lineRule="exact"/>
              <w:ind w:right="420"/>
              <w:rPr>
                <w:rFonts w:ascii="仿宋" w:hAnsi="仿宋" w:eastAsia="仿宋" w:cs="宋体"/>
                <w:color w:val="000000"/>
                <w:kern w:val="0"/>
                <w:sz w:val="26"/>
                <w:szCs w:val="26"/>
              </w:rPr>
            </w:pPr>
          </w:p>
          <w:p>
            <w:pPr>
              <w:adjustRightInd w:val="0"/>
              <w:snapToGrid w:val="0"/>
              <w:spacing w:line="360" w:lineRule="exact"/>
              <w:ind w:right="420"/>
              <w:rPr>
                <w:rFonts w:ascii="仿宋" w:hAnsi="仿宋" w:eastAsia="仿宋" w:cs="宋体"/>
                <w:color w:val="000000"/>
                <w:kern w:val="0"/>
                <w:sz w:val="26"/>
                <w:szCs w:val="26"/>
              </w:rPr>
            </w:pPr>
          </w:p>
          <w:p>
            <w:pPr>
              <w:adjustRightInd w:val="0"/>
              <w:snapToGrid w:val="0"/>
              <w:spacing w:line="360" w:lineRule="exact"/>
              <w:ind w:right="420"/>
              <w:rPr>
                <w:rFonts w:ascii="仿宋" w:hAnsi="仿宋" w:eastAsia="仿宋" w:cs="宋体"/>
                <w:color w:val="000000"/>
                <w:kern w:val="0"/>
                <w:sz w:val="26"/>
                <w:szCs w:val="26"/>
              </w:rPr>
            </w:pPr>
          </w:p>
        </w:tc>
        <w:tc>
          <w:tcPr>
            <w:tcW w:w="1275" w:type="dxa"/>
            <w:tcBorders>
              <w:right w:val="single" w:color="auto" w:sz="4" w:space="0"/>
            </w:tcBorders>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邮   编</w:t>
            </w:r>
          </w:p>
        </w:tc>
        <w:tc>
          <w:tcPr>
            <w:tcW w:w="1876" w:type="dxa"/>
            <w:tcBorders>
              <w:right w:val="single" w:color="auto" w:sz="4" w:space="0"/>
            </w:tcBorders>
            <w:shd w:val="clear" w:color="auto" w:fill="FFFFFF"/>
            <w:vAlign w:val="center"/>
          </w:tcPr>
          <w:p>
            <w:pPr>
              <w:adjustRightInd w:val="0"/>
              <w:snapToGrid w:val="0"/>
              <w:spacing w:line="360" w:lineRule="exact"/>
              <w:ind w:right="420"/>
              <w:rPr>
                <w:rFonts w:ascii="仿宋" w:hAnsi="仿宋" w:eastAsia="仿宋" w:cs="宋体"/>
                <w:color w:val="000000"/>
                <w:kern w:val="0"/>
                <w:sz w:val="26"/>
                <w:szCs w:val="26"/>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4" w:hRule="exact"/>
          <w:jc w:val="center"/>
        </w:trPr>
        <w:tc>
          <w:tcPr>
            <w:tcW w:w="1650"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姓    名</w:t>
            </w:r>
          </w:p>
        </w:tc>
        <w:tc>
          <w:tcPr>
            <w:tcW w:w="1329" w:type="dxa"/>
            <w:shd w:val="clear" w:color="auto" w:fill="FFFFFF"/>
            <w:vAlign w:val="center"/>
          </w:tcPr>
          <w:p>
            <w:pPr>
              <w:adjustRightInd w:val="0"/>
              <w:snapToGrid w:val="0"/>
              <w:spacing w:line="360" w:lineRule="exact"/>
              <w:jc w:val="left"/>
              <w:rPr>
                <w:rFonts w:ascii="仿宋" w:hAnsi="仿宋" w:eastAsia="仿宋" w:cs="宋体"/>
                <w:color w:val="000000"/>
                <w:kern w:val="0"/>
                <w:sz w:val="26"/>
                <w:szCs w:val="26"/>
              </w:rPr>
            </w:pPr>
          </w:p>
        </w:tc>
        <w:tc>
          <w:tcPr>
            <w:tcW w:w="1648"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性     别</w:t>
            </w:r>
          </w:p>
        </w:tc>
        <w:tc>
          <w:tcPr>
            <w:tcW w:w="1276"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p>
        </w:tc>
        <w:tc>
          <w:tcPr>
            <w:tcW w:w="1275"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民   族</w:t>
            </w:r>
          </w:p>
        </w:tc>
        <w:tc>
          <w:tcPr>
            <w:tcW w:w="1876" w:type="dxa"/>
            <w:shd w:val="clear" w:color="auto" w:fill="FFFFFF"/>
            <w:vAlign w:val="center"/>
          </w:tcPr>
          <w:p>
            <w:pPr>
              <w:adjustRightInd w:val="0"/>
              <w:snapToGrid w:val="0"/>
              <w:spacing w:line="360" w:lineRule="exact"/>
              <w:jc w:val="left"/>
              <w:rPr>
                <w:rFonts w:ascii="仿宋" w:hAnsi="仿宋" w:eastAsia="仿宋" w:cs="宋体"/>
                <w:color w:val="000000"/>
                <w:kern w:val="0"/>
                <w:sz w:val="26"/>
                <w:szCs w:val="26"/>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9" w:hRule="exact"/>
          <w:jc w:val="center"/>
        </w:trPr>
        <w:tc>
          <w:tcPr>
            <w:tcW w:w="1650"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手机/电话</w:t>
            </w:r>
          </w:p>
        </w:tc>
        <w:tc>
          <w:tcPr>
            <w:tcW w:w="1329" w:type="dxa"/>
            <w:shd w:val="clear" w:color="auto" w:fill="FFFFFF"/>
            <w:vAlign w:val="center"/>
          </w:tcPr>
          <w:p>
            <w:pPr>
              <w:adjustRightInd w:val="0"/>
              <w:snapToGrid w:val="0"/>
              <w:spacing w:line="360" w:lineRule="exact"/>
              <w:jc w:val="left"/>
              <w:rPr>
                <w:rFonts w:ascii="仿宋" w:hAnsi="仿宋" w:eastAsia="仿宋" w:cs="宋体"/>
                <w:color w:val="000000"/>
                <w:kern w:val="0"/>
                <w:sz w:val="26"/>
                <w:szCs w:val="26"/>
              </w:rPr>
            </w:pPr>
          </w:p>
        </w:tc>
        <w:tc>
          <w:tcPr>
            <w:tcW w:w="1648"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职称/职务</w:t>
            </w:r>
          </w:p>
        </w:tc>
        <w:tc>
          <w:tcPr>
            <w:tcW w:w="1276"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p>
        </w:tc>
        <w:tc>
          <w:tcPr>
            <w:tcW w:w="1275"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E-mail</w:t>
            </w:r>
          </w:p>
        </w:tc>
        <w:tc>
          <w:tcPr>
            <w:tcW w:w="1876" w:type="dxa"/>
            <w:shd w:val="clear" w:color="auto" w:fill="FFFFFF"/>
            <w:vAlign w:val="center"/>
          </w:tcPr>
          <w:p>
            <w:pPr>
              <w:adjustRightInd w:val="0"/>
              <w:snapToGrid w:val="0"/>
              <w:spacing w:line="360" w:lineRule="exact"/>
              <w:jc w:val="left"/>
              <w:rPr>
                <w:rFonts w:ascii="仿宋" w:hAnsi="仿宋" w:eastAsia="仿宋" w:cs="宋体"/>
                <w:color w:val="000000"/>
                <w:kern w:val="0"/>
                <w:sz w:val="26"/>
                <w:szCs w:val="26"/>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4" w:hRule="exact"/>
          <w:jc w:val="center"/>
        </w:trPr>
        <w:tc>
          <w:tcPr>
            <w:tcW w:w="1650" w:type="dxa"/>
            <w:shd w:val="clear" w:color="auto" w:fill="FFFFFF"/>
            <w:vAlign w:val="center"/>
          </w:tcPr>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是否入住</w:t>
            </w:r>
          </w:p>
          <w:p>
            <w:pPr>
              <w:adjustRightInd w:val="0"/>
              <w:snapToGrid w:val="0"/>
              <w:spacing w:line="360" w:lineRule="exact"/>
              <w:jc w:val="center"/>
              <w:rPr>
                <w:rFonts w:ascii="仿宋" w:hAnsi="仿宋" w:eastAsia="仿宋" w:cs="宋体"/>
                <w:color w:val="000000"/>
                <w:kern w:val="0"/>
                <w:sz w:val="26"/>
                <w:szCs w:val="26"/>
              </w:rPr>
            </w:pPr>
            <w:r>
              <w:rPr>
                <w:rFonts w:hint="eastAsia" w:ascii="仿宋" w:hAnsi="仿宋" w:eastAsia="仿宋" w:cs="宋体"/>
                <w:color w:val="000000"/>
                <w:kern w:val="0"/>
                <w:sz w:val="26"/>
                <w:szCs w:val="26"/>
              </w:rPr>
              <w:t>会议酒店</w:t>
            </w:r>
          </w:p>
        </w:tc>
        <w:tc>
          <w:tcPr>
            <w:tcW w:w="1329" w:type="dxa"/>
            <w:tcBorders>
              <w:bottom w:val="single" w:color="auto" w:sz="6" w:space="0"/>
            </w:tcBorders>
            <w:shd w:val="clear" w:color="auto" w:fill="FFFFFF"/>
            <w:vAlign w:val="center"/>
          </w:tcPr>
          <w:p>
            <w:pPr>
              <w:adjustRightInd w:val="0"/>
              <w:snapToGrid w:val="0"/>
              <w:spacing w:line="360" w:lineRule="exact"/>
              <w:ind w:firstLine="260" w:firstLineChars="100"/>
              <w:rPr>
                <w:rFonts w:ascii="仿宋" w:hAnsi="仿宋" w:eastAsia="仿宋"/>
                <w:color w:val="000000"/>
                <w:sz w:val="26"/>
                <w:szCs w:val="26"/>
              </w:rPr>
            </w:pPr>
            <w:r>
              <w:rPr>
                <w:rFonts w:hint="eastAsia" w:ascii="仿宋" w:hAnsi="仿宋" w:eastAsia="仿宋"/>
                <w:color w:val="000000"/>
                <w:sz w:val="26"/>
                <w:szCs w:val="26"/>
              </w:rPr>
              <w:sym w:font="Wingdings 2" w:char="00A3"/>
            </w:r>
            <w:r>
              <w:rPr>
                <w:rFonts w:hint="eastAsia" w:ascii="仿宋" w:hAnsi="仿宋" w:eastAsia="仿宋"/>
                <w:color w:val="000000"/>
                <w:sz w:val="26"/>
                <w:szCs w:val="26"/>
              </w:rPr>
              <w:t>是</w:t>
            </w:r>
          </w:p>
          <w:p>
            <w:pPr>
              <w:adjustRightInd w:val="0"/>
              <w:snapToGrid w:val="0"/>
              <w:spacing w:line="360" w:lineRule="exact"/>
              <w:ind w:firstLine="260" w:firstLineChars="100"/>
              <w:rPr>
                <w:rFonts w:ascii="仿宋" w:hAnsi="仿宋" w:eastAsia="仿宋" w:cs="宋体"/>
                <w:color w:val="000000"/>
                <w:kern w:val="0"/>
                <w:sz w:val="26"/>
                <w:szCs w:val="26"/>
              </w:rPr>
            </w:pPr>
            <w:r>
              <w:rPr>
                <w:rFonts w:hint="eastAsia" w:ascii="仿宋" w:hAnsi="仿宋" w:eastAsia="仿宋" w:cs="Arial"/>
                <w:color w:val="000000"/>
                <w:sz w:val="26"/>
                <w:szCs w:val="26"/>
              </w:rPr>
              <w:sym w:font="Wingdings 2" w:char="00A3"/>
            </w:r>
            <w:r>
              <w:rPr>
                <w:rFonts w:hint="eastAsia" w:ascii="仿宋" w:hAnsi="仿宋" w:eastAsia="仿宋"/>
                <w:color w:val="000000"/>
                <w:sz w:val="26"/>
                <w:szCs w:val="26"/>
              </w:rPr>
              <w:t xml:space="preserve">否       </w:t>
            </w:r>
          </w:p>
        </w:tc>
        <w:tc>
          <w:tcPr>
            <w:tcW w:w="2924" w:type="dxa"/>
            <w:gridSpan w:val="2"/>
            <w:tcBorders>
              <w:bottom w:val="single" w:color="auto" w:sz="6" w:space="0"/>
            </w:tcBorders>
            <w:shd w:val="clear" w:color="auto" w:fill="FFFFFF"/>
            <w:vAlign w:val="center"/>
          </w:tcPr>
          <w:p>
            <w:pPr>
              <w:adjustRightInd w:val="0"/>
              <w:snapToGrid w:val="0"/>
              <w:spacing w:line="360" w:lineRule="exact"/>
              <w:ind w:firstLine="520" w:firstLineChars="200"/>
              <w:rPr>
                <w:rFonts w:ascii="仿宋" w:hAnsi="仿宋" w:eastAsia="仿宋"/>
                <w:color w:val="000000"/>
                <w:sz w:val="26"/>
                <w:szCs w:val="26"/>
              </w:rPr>
            </w:pPr>
            <w:r>
              <w:rPr>
                <w:rFonts w:hint="eastAsia" w:ascii="仿宋" w:hAnsi="仿宋" w:eastAsia="仿宋"/>
                <w:color w:val="000000"/>
                <w:sz w:val="26"/>
                <w:szCs w:val="26"/>
              </w:rPr>
              <w:t>住宿时间</w:t>
            </w:r>
          </w:p>
        </w:tc>
        <w:tc>
          <w:tcPr>
            <w:tcW w:w="3151" w:type="dxa"/>
            <w:gridSpan w:val="2"/>
            <w:tcBorders>
              <w:bottom w:val="single" w:color="auto" w:sz="6" w:space="0"/>
            </w:tcBorders>
            <w:shd w:val="clear" w:color="auto" w:fill="FFFFFF"/>
            <w:vAlign w:val="center"/>
          </w:tcPr>
          <w:p>
            <w:pPr>
              <w:adjustRightInd w:val="0"/>
              <w:snapToGrid w:val="0"/>
              <w:spacing w:line="360" w:lineRule="exact"/>
              <w:ind w:firstLine="650" w:firstLineChars="250"/>
              <w:rPr>
                <w:rFonts w:ascii="仿宋" w:hAnsi="仿宋" w:eastAsia="仿宋"/>
                <w:color w:val="000000"/>
                <w:sz w:val="26"/>
                <w:szCs w:val="26"/>
              </w:rPr>
            </w:pPr>
            <w:r>
              <w:rPr>
                <w:rFonts w:hint="eastAsia" w:ascii="仿宋" w:hAnsi="仿宋" w:eastAsia="仿宋"/>
                <w:color w:val="000000"/>
                <w:sz w:val="26"/>
                <w:szCs w:val="26"/>
              </w:rPr>
              <w:t>月____日-____日</w:t>
            </w:r>
          </w:p>
        </w:tc>
      </w:tr>
    </w:tbl>
    <w:p>
      <w:pPr>
        <w:adjustRightInd w:val="0"/>
        <w:snapToGrid w:val="0"/>
        <w:spacing w:line="360" w:lineRule="exact"/>
        <w:rPr>
          <w:rFonts w:ascii="仿宋" w:hAnsi="仿宋" w:eastAsia="仿宋" w:cs="Arial"/>
          <w:color w:val="000000"/>
          <w:sz w:val="26"/>
          <w:szCs w:val="26"/>
        </w:rPr>
      </w:pPr>
      <w:r>
        <w:rPr>
          <w:rFonts w:hint="eastAsia" w:ascii="仿宋" w:hAnsi="仿宋" w:eastAsia="仿宋" w:cs="Arial"/>
          <w:color w:val="000000"/>
          <w:sz w:val="26"/>
          <w:szCs w:val="26"/>
        </w:rPr>
        <w:t>注：如入住会议酒店，会务组统一安排住宿，住宿费用自理，为保证房间数量请务必注明。</w:t>
      </w:r>
    </w:p>
    <w:p>
      <w:pPr>
        <w:adjustRightInd w:val="0"/>
        <w:snapToGrid w:val="0"/>
        <w:spacing w:line="360" w:lineRule="auto"/>
        <w:rPr>
          <w:b/>
          <w:sz w:val="29"/>
          <w:szCs w:val="29"/>
        </w:rPr>
      </w:pPr>
    </w:p>
    <w:p>
      <w:pPr>
        <w:adjustRightInd w:val="0"/>
        <w:snapToGrid w:val="0"/>
        <w:spacing w:line="360" w:lineRule="auto"/>
        <w:rPr>
          <w:b/>
          <w:sz w:val="29"/>
          <w:szCs w:val="29"/>
        </w:rPr>
      </w:pPr>
      <w:r>
        <w:rPr>
          <w:rFonts w:hint="eastAsia"/>
          <w:b/>
          <w:sz w:val="29"/>
          <w:szCs w:val="29"/>
        </w:rPr>
        <w:t>（二）现场登记形式</w:t>
      </w:r>
    </w:p>
    <w:p>
      <w:pPr>
        <w:adjustRightInd w:val="0"/>
        <w:snapToGrid w:val="0"/>
        <w:spacing w:line="360" w:lineRule="auto"/>
        <w:rPr>
          <w:sz w:val="29"/>
          <w:szCs w:val="29"/>
        </w:rPr>
      </w:pPr>
      <w:r>
        <w:rPr>
          <w:rFonts w:hint="eastAsia"/>
          <w:b/>
          <w:sz w:val="29"/>
          <w:szCs w:val="29"/>
        </w:rPr>
        <w:t xml:space="preserve">    </w:t>
      </w:r>
      <w:r>
        <w:rPr>
          <w:rFonts w:hint="eastAsia"/>
          <w:sz w:val="29"/>
          <w:szCs w:val="29"/>
        </w:rPr>
        <w:t>会议当天到签到台登记，会议地点另行通知，会议当天需携带身份证/护照。</w:t>
      </w:r>
    </w:p>
    <w:p>
      <w:pPr>
        <w:pStyle w:val="14"/>
        <w:numPr>
          <w:ilvl w:val="0"/>
          <w:numId w:val="1"/>
        </w:numPr>
        <w:ind w:firstLineChars="0"/>
        <w:rPr>
          <w:b/>
          <w:sz w:val="33"/>
          <w:szCs w:val="33"/>
        </w:rPr>
      </w:pPr>
      <w:r>
        <w:rPr>
          <w:rFonts w:hint="eastAsia"/>
          <w:b/>
          <w:sz w:val="33"/>
          <w:szCs w:val="33"/>
        </w:rPr>
        <w:t>会议费用</w:t>
      </w:r>
    </w:p>
    <w:p>
      <w:pPr>
        <w:ind w:firstLine="580" w:firstLineChars="200"/>
        <w:rPr>
          <w:sz w:val="29"/>
          <w:szCs w:val="29"/>
        </w:rPr>
      </w:pPr>
      <w:r>
        <w:rPr>
          <w:rFonts w:hint="eastAsia"/>
          <w:sz w:val="29"/>
          <w:szCs w:val="29"/>
        </w:rPr>
        <w:t>会议不收取会务费，会议当天除中午午餐外，其他费用（交通费、住宿费）请自行负责。</w:t>
      </w:r>
    </w:p>
    <w:p>
      <w:pPr>
        <w:pStyle w:val="14"/>
        <w:numPr>
          <w:ilvl w:val="0"/>
          <w:numId w:val="1"/>
        </w:numPr>
        <w:ind w:firstLineChars="0"/>
        <w:rPr>
          <w:b/>
          <w:sz w:val="33"/>
          <w:szCs w:val="33"/>
        </w:rPr>
      </w:pPr>
      <w:r>
        <w:rPr>
          <w:rFonts w:hint="eastAsia"/>
          <w:b/>
          <w:sz w:val="33"/>
          <w:szCs w:val="33"/>
        </w:rPr>
        <w:t>会议日程</w:t>
      </w:r>
      <w:r>
        <w:rPr>
          <w:rFonts w:hint="eastAsia"/>
          <w:b/>
          <w:sz w:val="29"/>
          <w:szCs w:val="29"/>
        </w:rPr>
        <w:t>：2019年11月9 日09:00-16:30</w:t>
      </w:r>
    </w:p>
    <w:tbl>
      <w:tblPr>
        <w:tblStyle w:val="9"/>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372"/>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24" w:type="dxa"/>
          </w:tcPr>
          <w:p>
            <w:pPr>
              <w:rPr>
                <w:b/>
                <w:sz w:val="22"/>
              </w:rPr>
            </w:pPr>
          </w:p>
        </w:tc>
        <w:tc>
          <w:tcPr>
            <w:tcW w:w="2372" w:type="dxa"/>
          </w:tcPr>
          <w:p>
            <w:pPr>
              <w:ind w:firstLine="110" w:firstLineChars="50"/>
              <w:jc w:val="center"/>
              <w:rPr>
                <w:b/>
                <w:sz w:val="22"/>
              </w:rPr>
            </w:pPr>
            <w:r>
              <w:rPr>
                <w:rFonts w:hint="eastAsia"/>
                <w:b/>
                <w:sz w:val="22"/>
              </w:rPr>
              <w:t>时    间</w:t>
            </w:r>
          </w:p>
        </w:tc>
        <w:tc>
          <w:tcPr>
            <w:tcW w:w="5595" w:type="dxa"/>
          </w:tcPr>
          <w:p>
            <w:pPr>
              <w:jc w:val="center"/>
              <w:rPr>
                <w:b/>
                <w:sz w:val="22"/>
              </w:rPr>
            </w:pPr>
            <w:r>
              <w:rPr>
                <w:rFonts w:hint="eastAsia"/>
                <w:b/>
                <w:sz w:val="22"/>
              </w:rPr>
              <w:t>会  议  议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824" w:type="dxa"/>
            <w:vMerge w:val="restart"/>
          </w:tcPr>
          <w:p>
            <w:pPr>
              <w:rPr>
                <w:b/>
                <w:sz w:val="22"/>
              </w:rPr>
            </w:pPr>
          </w:p>
          <w:p>
            <w:pPr>
              <w:rPr>
                <w:b/>
                <w:sz w:val="22"/>
              </w:rPr>
            </w:pPr>
          </w:p>
          <w:p>
            <w:pPr>
              <w:rPr>
                <w:b/>
                <w:sz w:val="22"/>
              </w:rPr>
            </w:pPr>
          </w:p>
          <w:p>
            <w:pPr>
              <w:rPr>
                <w:b/>
                <w:sz w:val="22"/>
              </w:rPr>
            </w:pPr>
          </w:p>
          <w:p>
            <w:pPr>
              <w:rPr>
                <w:b/>
                <w:sz w:val="22"/>
              </w:rPr>
            </w:pPr>
          </w:p>
          <w:p>
            <w:pPr>
              <w:rPr>
                <w:b/>
                <w:sz w:val="22"/>
              </w:rPr>
            </w:pPr>
          </w:p>
          <w:p>
            <w:pPr>
              <w:rPr>
                <w:b/>
                <w:sz w:val="22"/>
              </w:rPr>
            </w:pPr>
          </w:p>
          <w:p>
            <w:pPr>
              <w:rPr>
                <w:b/>
                <w:sz w:val="22"/>
              </w:rPr>
            </w:pPr>
          </w:p>
          <w:p>
            <w:pPr>
              <w:jc w:val="center"/>
              <w:rPr>
                <w:b/>
                <w:sz w:val="22"/>
              </w:rPr>
            </w:pPr>
            <w:r>
              <w:rPr>
                <w:rFonts w:hint="eastAsia"/>
                <w:b/>
                <w:sz w:val="22"/>
              </w:rPr>
              <w:t>上</w:t>
            </w:r>
          </w:p>
          <w:p>
            <w:pPr>
              <w:jc w:val="center"/>
              <w:rPr>
                <w:b/>
                <w:sz w:val="22"/>
              </w:rPr>
            </w:pPr>
          </w:p>
          <w:p>
            <w:pPr>
              <w:jc w:val="center"/>
              <w:rPr>
                <w:b/>
                <w:sz w:val="22"/>
              </w:rPr>
            </w:pPr>
          </w:p>
          <w:p>
            <w:pPr>
              <w:jc w:val="center"/>
              <w:rPr>
                <w:b/>
                <w:sz w:val="22"/>
              </w:rPr>
            </w:pPr>
          </w:p>
          <w:p>
            <w:pPr>
              <w:jc w:val="center"/>
              <w:rPr>
                <w:b/>
                <w:sz w:val="22"/>
              </w:rPr>
            </w:pPr>
          </w:p>
          <w:p>
            <w:pPr>
              <w:jc w:val="center"/>
              <w:rPr>
                <w:b/>
                <w:sz w:val="22"/>
              </w:rPr>
            </w:pPr>
          </w:p>
          <w:p>
            <w:pPr>
              <w:jc w:val="center"/>
              <w:rPr>
                <w:b/>
                <w:sz w:val="22"/>
              </w:rPr>
            </w:pPr>
          </w:p>
          <w:p>
            <w:pPr>
              <w:jc w:val="center"/>
              <w:rPr>
                <w:b/>
                <w:sz w:val="22"/>
              </w:rPr>
            </w:pPr>
          </w:p>
          <w:p>
            <w:pPr>
              <w:jc w:val="center"/>
              <w:rPr>
                <w:b/>
                <w:sz w:val="22"/>
              </w:rPr>
            </w:pPr>
          </w:p>
          <w:p>
            <w:pPr>
              <w:jc w:val="center"/>
              <w:rPr>
                <w:b/>
                <w:sz w:val="22"/>
              </w:rPr>
            </w:pPr>
            <w:r>
              <w:rPr>
                <w:rFonts w:hint="eastAsia"/>
                <w:b/>
                <w:sz w:val="22"/>
              </w:rPr>
              <w:t>午</w:t>
            </w:r>
          </w:p>
        </w:tc>
        <w:tc>
          <w:tcPr>
            <w:tcW w:w="2372" w:type="dxa"/>
          </w:tcPr>
          <w:p>
            <w:pPr>
              <w:jc w:val="center"/>
              <w:rPr>
                <w:b/>
                <w:sz w:val="22"/>
              </w:rPr>
            </w:pPr>
          </w:p>
          <w:p>
            <w:pPr>
              <w:jc w:val="center"/>
              <w:rPr>
                <w:b/>
                <w:sz w:val="22"/>
              </w:rPr>
            </w:pPr>
          </w:p>
          <w:p>
            <w:pPr>
              <w:jc w:val="center"/>
              <w:rPr>
                <w:b/>
                <w:sz w:val="22"/>
              </w:rPr>
            </w:pPr>
          </w:p>
          <w:p>
            <w:pPr>
              <w:jc w:val="center"/>
              <w:rPr>
                <w:b/>
                <w:sz w:val="22"/>
              </w:rPr>
            </w:pPr>
          </w:p>
          <w:p>
            <w:pPr>
              <w:jc w:val="center"/>
              <w:rPr>
                <w:b/>
                <w:sz w:val="22"/>
              </w:rPr>
            </w:pPr>
            <w:r>
              <w:rPr>
                <w:rFonts w:hint="eastAsia"/>
                <w:b/>
                <w:sz w:val="22"/>
              </w:rPr>
              <w:t>09:00-09:30</w:t>
            </w:r>
          </w:p>
        </w:tc>
        <w:tc>
          <w:tcPr>
            <w:tcW w:w="5595" w:type="dxa"/>
          </w:tcPr>
          <w:p>
            <w:pPr>
              <w:rPr>
                <w:b/>
                <w:sz w:val="22"/>
              </w:rPr>
            </w:pPr>
            <w:r>
              <w:rPr>
                <w:rFonts w:hint="eastAsia"/>
                <w:b/>
                <w:sz w:val="22"/>
              </w:rPr>
              <w:t>开幕式</w:t>
            </w:r>
          </w:p>
          <w:p>
            <w:pPr>
              <w:pStyle w:val="14"/>
              <w:numPr>
                <w:ilvl w:val="0"/>
                <w:numId w:val="5"/>
              </w:numPr>
              <w:ind w:firstLineChars="0"/>
              <w:rPr>
                <w:b/>
                <w:sz w:val="22"/>
              </w:rPr>
            </w:pPr>
            <w:r>
              <w:rPr>
                <w:rFonts w:hint="eastAsia"/>
                <w:b/>
                <w:sz w:val="22"/>
              </w:rPr>
              <w:t>联合国原副秘书长 吴红波 致辞</w:t>
            </w:r>
          </w:p>
          <w:p>
            <w:pPr>
              <w:pStyle w:val="14"/>
              <w:numPr>
                <w:ilvl w:val="0"/>
                <w:numId w:val="5"/>
              </w:numPr>
              <w:ind w:firstLineChars="0"/>
              <w:rPr>
                <w:b/>
                <w:sz w:val="22"/>
              </w:rPr>
            </w:pPr>
            <w:r>
              <w:rPr>
                <w:rFonts w:hint="eastAsia"/>
                <w:b/>
                <w:sz w:val="22"/>
              </w:rPr>
              <w:t>中国教科文全委会秘书长 秦昌威 讲话</w:t>
            </w:r>
          </w:p>
          <w:p>
            <w:pPr>
              <w:pStyle w:val="14"/>
              <w:numPr>
                <w:ilvl w:val="0"/>
                <w:numId w:val="5"/>
              </w:numPr>
              <w:ind w:firstLineChars="0"/>
              <w:rPr>
                <w:b/>
                <w:sz w:val="22"/>
              </w:rPr>
            </w:pPr>
            <w:r>
              <w:rPr>
                <w:rFonts w:hint="eastAsia"/>
                <w:b/>
                <w:sz w:val="22"/>
              </w:rPr>
              <w:t>北京教育科学研究院院长方中雄 致欢迎辞</w:t>
            </w:r>
          </w:p>
          <w:p>
            <w:pPr>
              <w:pStyle w:val="14"/>
              <w:numPr>
                <w:ilvl w:val="0"/>
                <w:numId w:val="5"/>
              </w:numPr>
              <w:ind w:firstLineChars="0"/>
              <w:rPr>
                <w:b/>
                <w:sz w:val="22"/>
              </w:rPr>
            </w:pPr>
            <w:r>
              <w:rPr>
                <w:rFonts w:hint="eastAsia"/>
                <w:b/>
                <w:sz w:val="22"/>
              </w:rPr>
              <w:t>清华大学环境学院领导致辞</w:t>
            </w:r>
          </w:p>
          <w:p>
            <w:pPr>
              <w:pStyle w:val="14"/>
              <w:numPr>
                <w:ilvl w:val="0"/>
                <w:numId w:val="5"/>
              </w:numPr>
              <w:ind w:firstLineChars="0"/>
              <w:rPr>
                <w:b/>
                <w:sz w:val="22"/>
              </w:rPr>
            </w:pPr>
            <w:r>
              <w:rPr>
                <w:rFonts w:hint="eastAsia"/>
                <w:b/>
                <w:sz w:val="22"/>
              </w:rPr>
              <w:t>北京教育科学研究院与昌平区政府签约仪式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24" w:type="dxa"/>
            <w:vMerge w:val="continue"/>
          </w:tcPr>
          <w:p>
            <w:pPr>
              <w:rPr>
                <w:b/>
                <w:sz w:val="22"/>
              </w:rPr>
            </w:pPr>
          </w:p>
        </w:tc>
        <w:tc>
          <w:tcPr>
            <w:tcW w:w="2372" w:type="dxa"/>
          </w:tcPr>
          <w:p>
            <w:pPr>
              <w:jc w:val="center"/>
              <w:rPr>
                <w:b/>
                <w:sz w:val="22"/>
              </w:rPr>
            </w:pPr>
          </w:p>
          <w:p>
            <w:pPr>
              <w:jc w:val="center"/>
              <w:rPr>
                <w:b/>
                <w:sz w:val="22"/>
              </w:rPr>
            </w:pPr>
            <w:r>
              <w:rPr>
                <w:rFonts w:hint="eastAsia"/>
                <w:b/>
                <w:sz w:val="22"/>
              </w:rPr>
              <w:t>09:30-09:40</w:t>
            </w:r>
          </w:p>
        </w:tc>
        <w:tc>
          <w:tcPr>
            <w:tcW w:w="5595" w:type="dxa"/>
          </w:tcPr>
          <w:p>
            <w:pPr>
              <w:jc w:val="center"/>
              <w:rPr>
                <w:b/>
                <w:sz w:val="22"/>
              </w:rPr>
            </w:pPr>
          </w:p>
          <w:p>
            <w:pPr>
              <w:jc w:val="center"/>
              <w:rPr>
                <w:b/>
                <w:sz w:val="22"/>
              </w:rPr>
            </w:pPr>
            <w:r>
              <w:rPr>
                <w:rFonts w:hint="eastAsia"/>
                <w:b/>
                <w:sz w:val="22"/>
              </w:rPr>
              <w:t>合影&amp;茶歇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continue"/>
          </w:tcPr>
          <w:p>
            <w:pPr>
              <w:rPr>
                <w:b/>
                <w:sz w:val="22"/>
              </w:rPr>
            </w:pPr>
          </w:p>
        </w:tc>
        <w:tc>
          <w:tcPr>
            <w:tcW w:w="2372" w:type="dxa"/>
          </w:tcPr>
          <w:p>
            <w:pPr>
              <w:jc w:val="center"/>
              <w:rPr>
                <w:b/>
                <w:sz w:val="22"/>
              </w:rPr>
            </w:pPr>
            <w:r>
              <w:rPr>
                <w:rFonts w:hint="eastAsia"/>
                <w:b/>
                <w:sz w:val="22"/>
              </w:rPr>
              <w:t>09:40-10:00</w:t>
            </w:r>
          </w:p>
        </w:tc>
        <w:tc>
          <w:tcPr>
            <w:tcW w:w="5595" w:type="dxa"/>
          </w:tcPr>
          <w:p>
            <w:pPr>
              <w:rPr>
                <w:b/>
                <w:sz w:val="22"/>
              </w:rPr>
            </w:pPr>
            <w:r>
              <w:rPr>
                <w:rFonts w:hint="eastAsia"/>
                <w:b/>
                <w:sz w:val="22"/>
              </w:rPr>
              <w:t>2019世园会：习近平生态文明理念的生动展示—世园会规划设计师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continue"/>
          </w:tcPr>
          <w:p>
            <w:pPr>
              <w:rPr>
                <w:b/>
                <w:sz w:val="22"/>
              </w:rPr>
            </w:pPr>
          </w:p>
        </w:tc>
        <w:tc>
          <w:tcPr>
            <w:tcW w:w="2372" w:type="dxa"/>
          </w:tcPr>
          <w:p>
            <w:pPr>
              <w:jc w:val="center"/>
              <w:rPr>
                <w:b/>
                <w:sz w:val="22"/>
              </w:rPr>
            </w:pPr>
            <w:r>
              <w:rPr>
                <w:rFonts w:hint="eastAsia"/>
                <w:b/>
                <w:sz w:val="22"/>
              </w:rPr>
              <w:t>10:00-10:20</w:t>
            </w:r>
          </w:p>
        </w:tc>
        <w:tc>
          <w:tcPr>
            <w:tcW w:w="5595" w:type="dxa"/>
          </w:tcPr>
          <w:p>
            <w:pPr>
              <w:rPr>
                <w:b/>
                <w:sz w:val="22"/>
              </w:rPr>
            </w:pPr>
            <w:r>
              <w:rPr>
                <w:rFonts w:hint="eastAsia"/>
                <w:b/>
                <w:sz w:val="22"/>
              </w:rPr>
              <w:t>生态文明教育的引领作用与未来展望—章新胜   世界自然保护联盟主席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continue"/>
          </w:tcPr>
          <w:p>
            <w:pPr>
              <w:rPr>
                <w:b/>
                <w:sz w:val="22"/>
              </w:rPr>
            </w:pPr>
          </w:p>
        </w:tc>
        <w:tc>
          <w:tcPr>
            <w:tcW w:w="2372" w:type="dxa"/>
          </w:tcPr>
          <w:p>
            <w:pPr>
              <w:jc w:val="center"/>
              <w:rPr>
                <w:b/>
                <w:sz w:val="22"/>
              </w:rPr>
            </w:pPr>
            <w:r>
              <w:rPr>
                <w:rFonts w:hint="eastAsia"/>
                <w:b/>
                <w:sz w:val="22"/>
              </w:rPr>
              <w:t>10:20-10:40</w:t>
            </w:r>
          </w:p>
        </w:tc>
        <w:tc>
          <w:tcPr>
            <w:tcW w:w="5595" w:type="dxa"/>
          </w:tcPr>
          <w:p>
            <w:pPr>
              <w:rPr>
                <w:b/>
                <w:sz w:val="22"/>
              </w:rPr>
            </w:pPr>
            <w:r>
              <w:rPr>
                <w:rFonts w:hint="eastAsia"/>
                <w:b/>
                <w:sz w:val="22"/>
              </w:rPr>
              <w:t>生态文明教育的“北京方案”—冯洪荣 北京市教委副巡视员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continue"/>
          </w:tcPr>
          <w:p>
            <w:pPr>
              <w:rPr>
                <w:b/>
                <w:sz w:val="22"/>
              </w:rPr>
            </w:pPr>
          </w:p>
        </w:tc>
        <w:tc>
          <w:tcPr>
            <w:tcW w:w="2372" w:type="dxa"/>
          </w:tcPr>
          <w:p>
            <w:pPr>
              <w:jc w:val="center"/>
              <w:rPr>
                <w:b/>
                <w:sz w:val="22"/>
              </w:rPr>
            </w:pPr>
            <w:r>
              <w:rPr>
                <w:rFonts w:hint="eastAsia"/>
                <w:b/>
                <w:sz w:val="22"/>
              </w:rPr>
              <w:t>10:40-11:00</w:t>
            </w:r>
          </w:p>
        </w:tc>
        <w:tc>
          <w:tcPr>
            <w:tcW w:w="5595" w:type="dxa"/>
          </w:tcPr>
          <w:p>
            <w:pPr>
              <w:rPr>
                <w:b/>
                <w:sz w:val="22"/>
              </w:rPr>
            </w:pPr>
            <w:r>
              <w:rPr>
                <w:rFonts w:hint="eastAsia"/>
                <w:b/>
                <w:sz w:val="22"/>
              </w:rPr>
              <w:t>生态文明的理论、指标与实践—清华大学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continue"/>
          </w:tcPr>
          <w:p>
            <w:pPr>
              <w:rPr>
                <w:b/>
                <w:sz w:val="22"/>
              </w:rPr>
            </w:pPr>
          </w:p>
        </w:tc>
        <w:tc>
          <w:tcPr>
            <w:tcW w:w="2372" w:type="dxa"/>
          </w:tcPr>
          <w:p>
            <w:pPr>
              <w:jc w:val="center"/>
              <w:rPr>
                <w:b/>
                <w:sz w:val="22"/>
              </w:rPr>
            </w:pPr>
            <w:r>
              <w:rPr>
                <w:rFonts w:hint="eastAsia"/>
                <w:b/>
                <w:sz w:val="22"/>
              </w:rPr>
              <w:t>11:00-11:20</w:t>
            </w:r>
          </w:p>
        </w:tc>
        <w:tc>
          <w:tcPr>
            <w:tcW w:w="5595" w:type="dxa"/>
          </w:tcPr>
          <w:p>
            <w:pPr>
              <w:rPr>
                <w:b/>
                <w:sz w:val="22"/>
              </w:rPr>
            </w:pPr>
            <w:r>
              <w:rPr>
                <w:rFonts w:hint="eastAsia"/>
                <w:b/>
                <w:sz w:val="22"/>
              </w:rPr>
              <w:t>京沪粤中小学生态文明教育现状调研报告</w:t>
            </w:r>
          </w:p>
          <w:p>
            <w:pPr>
              <w:rPr>
                <w:b/>
                <w:sz w:val="22"/>
              </w:rPr>
            </w:pPr>
            <w:r>
              <w:rPr>
                <w:rFonts w:hint="eastAsia"/>
                <w:b/>
                <w:sz w:val="22"/>
              </w:rPr>
              <w:t>《生态文明与可持续发展教育实践模式与实现路径》课题组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continue"/>
          </w:tcPr>
          <w:p>
            <w:pPr>
              <w:rPr>
                <w:b/>
                <w:sz w:val="22"/>
              </w:rPr>
            </w:pPr>
          </w:p>
        </w:tc>
        <w:tc>
          <w:tcPr>
            <w:tcW w:w="2372" w:type="dxa"/>
          </w:tcPr>
          <w:p>
            <w:pPr>
              <w:jc w:val="center"/>
              <w:rPr>
                <w:b/>
                <w:sz w:val="22"/>
              </w:rPr>
            </w:pPr>
            <w:r>
              <w:rPr>
                <w:rFonts w:hint="eastAsia"/>
                <w:b/>
                <w:sz w:val="22"/>
              </w:rPr>
              <w:t>11:00-11:40</w:t>
            </w:r>
          </w:p>
        </w:tc>
        <w:tc>
          <w:tcPr>
            <w:tcW w:w="5595" w:type="dxa"/>
          </w:tcPr>
          <w:p>
            <w:pPr>
              <w:rPr>
                <w:b/>
                <w:sz w:val="22"/>
              </w:rPr>
            </w:pPr>
            <w:r>
              <w:rPr>
                <w:rFonts w:hint="eastAsia"/>
                <w:b/>
                <w:sz w:val="22"/>
              </w:rPr>
              <w:t>生态文明教育的理论基础与实践模式—史根东 UNESCO中国可持续发展教育全工委执行主任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24" w:type="dxa"/>
          </w:tcPr>
          <w:p>
            <w:pPr>
              <w:rPr>
                <w:b/>
                <w:sz w:val="22"/>
              </w:rPr>
            </w:pPr>
          </w:p>
        </w:tc>
        <w:tc>
          <w:tcPr>
            <w:tcW w:w="2372" w:type="dxa"/>
          </w:tcPr>
          <w:p>
            <w:pPr>
              <w:jc w:val="center"/>
              <w:rPr>
                <w:b/>
                <w:sz w:val="22"/>
              </w:rPr>
            </w:pPr>
          </w:p>
          <w:p>
            <w:pPr>
              <w:jc w:val="center"/>
              <w:rPr>
                <w:b/>
                <w:sz w:val="22"/>
              </w:rPr>
            </w:pPr>
            <w:r>
              <w:rPr>
                <w:rFonts w:hint="eastAsia"/>
                <w:b/>
                <w:sz w:val="22"/>
              </w:rPr>
              <w:t>12:00-13:30</w:t>
            </w:r>
          </w:p>
        </w:tc>
        <w:tc>
          <w:tcPr>
            <w:tcW w:w="5595" w:type="dxa"/>
          </w:tcPr>
          <w:p>
            <w:pPr>
              <w:ind w:firstLine="1988" w:firstLineChars="900"/>
              <w:rPr>
                <w:b/>
                <w:sz w:val="22"/>
              </w:rPr>
            </w:pPr>
          </w:p>
          <w:p>
            <w:pPr>
              <w:ind w:firstLine="1988" w:firstLineChars="900"/>
              <w:rPr>
                <w:b/>
                <w:sz w:val="22"/>
              </w:rPr>
            </w:pPr>
            <w:r>
              <w:rPr>
                <w:rFonts w:hint="eastAsia"/>
                <w:b/>
                <w:sz w:val="22"/>
              </w:rPr>
              <w:t>午餐&amp;休息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4" w:type="dxa"/>
            <w:vMerge w:val="restart"/>
          </w:tcPr>
          <w:p>
            <w:pPr>
              <w:jc w:val="center"/>
              <w:rPr>
                <w:b/>
                <w:sz w:val="22"/>
              </w:rPr>
            </w:pPr>
          </w:p>
          <w:p>
            <w:pPr>
              <w:jc w:val="center"/>
              <w:rPr>
                <w:b/>
                <w:sz w:val="22"/>
              </w:rPr>
            </w:pPr>
          </w:p>
          <w:p>
            <w:pPr>
              <w:jc w:val="center"/>
              <w:rPr>
                <w:b/>
                <w:sz w:val="22"/>
              </w:rPr>
            </w:pPr>
          </w:p>
          <w:p>
            <w:pPr>
              <w:jc w:val="center"/>
              <w:rPr>
                <w:b/>
                <w:sz w:val="22"/>
              </w:rPr>
            </w:pPr>
            <w:r>
              <w:rPr>
                <w:rFonts w:hint="eastAsia"/>
                <w:b/>
                <w:sz w:val="22"/>
              </w:rPr>
              <w:t>下</w:t>
            </w:r>
          </w:p>
          <w:p>
            <w:pPr>
              <w:jc w:val="center"/>
              <w:rPr>
                <w:b/>
                <w:sz w:val="22"/>
              </w:rPr>
            </w:pPr>
          </w:p>
          <w:p>
            <w:pPr>
              <w:jc w:val="center"/>
              <w:rPr>
                <w:b/>
                <w:sz w:val="22"/>
              </w:rPr>
            </w:pPr>
          </w:p>
          <w:p>
            <w:pPr>
              <w:jc w:val="center"/>
              <w:rPr>
                <w:b/>
                <w:sz w:val="22"/>
              </w:rPr>
            </w:pPr>
          </w:p>
          <w:p>
            <w:pPr>
              <w:jc w:val="center"/>
              <w:rPr>
                <w:b/>
                <w:sz w:val="22"/>
              </w:rPr>
            </w:pPr>
            <w:r>
              <w:rPr>
                <w:rFonts w:hint="eastAsia"/>
                <w:b/>
                <w:sz w:val="22"/>
              </w:rPr>
              <w:t>午</w:t>
            </w:r>
          </w:p>
        </w:tc>
        <w:tc>
          <w:tcPr>
            <w:tcW w:w="2372" w:type="dxa"/>
            <w:vMerge w:val="restart"/>
          </w:tcPr>
          <w:p>
            <w:pPr>
              <w:jc w:val="center"/>
              <w:rPr>
                <w:b/>
                <w:sz w:val="22"/>
              </w:rPr>
            </w:pPr>
          </w:p>
          <w:p>
            <w:pPr>
              <w:jc w:val="center"/>
              <w:rPr>
                <w:b/>
                <w:sz w:val="22"/>
              </w:rPr>
            </w:pPr>
          </w:p>
          <w:p>
            <w:pPr>
              <w:jc w:val="center"/>
              <w:rPr>
                <w:b/>
                <w:sz w:val="22"/>
              </w:rPr>
            </w:pPr>
          </w:p>
          <w:p>
            <w:pPr>
              <w:jc w:val="center"/>
              <w:rPr>
                <w:b/>
                <w:sz w:val="22"/>
              </w:rPr>
            </w:pPr>
          </w:p>
          <w:p>
            <w:pPr>
              <w:jc w:val="center"/>
              <w:rPr>
                <w:b/>
                <w:sz w:val="22"/>
              </w:rPr>
            </w:pPr>
          </w:p>
          <w:p>
            <w:pPr>
              <w:jc w:val="center"/>
              <w:rPr>
                <w:b/>
                <w:sz w:val="22"/>
              </w:rPr>
            </w:pPr>
            <w:r>
              <w:rPr>
                <w:rFonts w:hint="eastAsia"/>
                <w:b/>
                <w:sz w:val="22"/>
              </w:rPr>
              <w:t>13:30-16:00</w:t>
            </w:r>
          </w:p>
        </w:tc>
        <w:tc>
          <w:tcPr>
            <w:tcW w:w="5595" w:type="dxa"/>
          </w:tcPr>
          <w:p>
            <w:pPr>
              <w:rPr>
                <w:b/>
                <w:sz w:val="22"/>
              </w:rPr>
            </w:pPr>
            <w:r>
              <w:rPr>
                <w:rFonts w:hint="eastAsia"/>
                <w:b/>
                <w:sz w:val="22"/>
              </w:rPr>
              <w:t>终身学习视角下的生态文明教育圆桌会议—北京教科院终身可持续所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24" w:type="dxa"/>
            <w:vMerge w:val="continue"/>
            <w:tcBorders>
              <w:bottom w:val="single" w:color="auto" w:sz="4" w:space="0"/>
            </w:tcBorders>
          </w:tcPr>
          <w:p>
            <w:pPr>
              <w:jc w:val="center"/>
              <w:rPr>
                <w:b/>
                <w:sz w:val="22"/>
              </w:rPr>
            </w:pPr>
          </w:p>
        </w:tc>
        <w:tc>
          <w:tcPr>
            <w:tcW w:w="2372" w:type="dxa"/>
            <w:vMerge w:val="continue"/>
            <w:tcBorders>
              <w:bottom w:val="single" w:color="auto" w:sz="4" w:space="0"/>
            </w:tcBorders>
          </w:tcPr>
          <w:p>
            <w:pPr>
              <w:jc w:val="center"/>
              <w:rPr>
                <w:b/>
                <w:sz w:val="22"/>
              </w:rPr>
            </w:pPr>
          </w:p>
        </w:tc>
        <w:tc>
          <w:tcPr>
            <w:tcW w:w="5595" w:type="dxa"/>
            <w:tcBorders>
              <w:bottom w:val="single" w:color="auto" w:sz="4" w:space="0"/>
            </w:tcBorders>
          </w:tcPr>
          <w:p>
            <w:pPr>
              <w:rPr>
                <w:b/>
                <w:sz w:val="22"/>
              </w:rPr>
            </w:pPr>
            <w:r>
              <w:rPr>
                <w:rFonts w:hint="eastAsia"/>
                <w:b/>
                <w:sz w:val="22"/>
              </w:rPr>
              <w:t>1、京津冀生态文明教育</w:t>
            </w:r>
          </w:p>
          <w:p>
            <w:pPr>
              <w:rPr>
                <w:b/>
                <w:sz w:val="22"/>
              </w:rPr>
            </w:pPr>
            <w:r>
              <w:rPr>
                <w:rFonts w:hint="eastAsia"/>
                <w:b/>
                <w:sz w:val="22"/>
              </w:rPr>
              <w:t xml:space="preserve">   1-1 北京城市副中心生态文明教育</w:t>
            </w:r>
          </w:p>
          <w:p>
            <w:pPr>
              <w:rPr>
                <w:b/>
                <w:sz w:val="22"/>
              </w:rPr>
            </w:pPr>
            <w:r>
              <w:rPr>
                <w:rFonts w:hint="eastAsia"/>
                <w:b/>
                <w:sz w:val="22"/>
              </w:rPr>
              <w:t xml:space="preserve">   1-2 顺义区生态文明教育进社区的探索与实践</w:t>
            </w:r>
          </w:p>
          <w:p>
            <w:pPr>
              <w:rPr>
                <w:b/>
                <w:sz w:val="22"/>
              </w:rPr>
            </w:pPr>
            <w:r>
              <w:rPr>
                <w:rFonts w:hint="eastAsia"/>
                <w:b/>
                <w:sz w:val="22"/>
              </w:rPr>
              <w:t xml:space="preserve">   1-3 河北青龙农村生态文明教育实践模式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24" w:type="dxa"/>
            <w:vMerge w:val="continue"/>
          </w:tcPr>
          <w:p>
            <w:pPr>
              <w:rPr>
                <w:b/>
                <w:sz w:val="22"/>
              </w:rPr>
            </w:pPr>
          </w:p>
        </w:tc>
        <w:tc>
          <w:tcPr>
            <w:tcW w:w="2372" w:type="dxa"/>
            <w:vMerge w:val="continue"/>
          </w:tcPr>
          <w:p>
            <w:pPr>
              <w:jc w:val="center"/>
              <w:rPr>
                <w:b/>
                <w:sz w:val="22"/>
              </w:rPr>
            </w:pPr>
          </w:p>
        </w:tc>
        <w:tc>
          <w:tcPr>
            <w:tcW w:w="5595" w:type="dxa"/>
          </w:tcPr>
          <w:p>
            <w:pPr>
              <w:rPr>
                <w:b/>
                <w:sz w:val="22"/>
              </w:rPr>
            </w:pPr>
            <w:r>
              <w:rPr>
                <w:rFonts w:hint="eastAsia"/>
                <w:b/>
                <w:sz w:val="22"/>
              </w:rPr>
              <w:t>2、粤港澳大湾区生态文明教育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4" w:type="dxa"/>
            <w:vMerge w:val="continue"/>
          </w:tcPr>
          <w:p>
            <w:pPr>
              <w:rPr>
                <w:b/>
                <w:sz w:val="22"/>
              </w:rPr>
            </w:pPr>
          </w:p>
        </w:tc>
        <w:tc>
          <w:tcPr>
            <w:tcW w:w="2372" w:type="dxa"/>
            <w:vMerge w:val="continue"/>
          </w:tcPr>
          <w:p>
            <w:pPr>
              <w:rPr>
                <w:b/>
                <w:sz w:val="22"/>
              </w:rPr>
            </w:pPr>
          </w:p>
        </w:tc>
        <w:tc>
          <w:tcPr>
            <w:tcW w:w="5595" w:type="dxa"/>
          </w:tcPr>
          <w:p>
            <w:pPr>
              <w:rPr>
                <w:b/>
                <w:sz w:val="22"/>
              </w:rPr>
            </w:pPr>
            <w:r>
              <w:rPr>
                <w:rFonts w:hint="eastAsia"/>
                <w:b/>
                <w:sz w:val="22"/>
              </w:rPr>
              <w:t>3、长三角地区生态文明教育</w:t>
            </w:r>
          </w:p>
        </w:tc>
      </w:tr>
    </w:tbl>
    <w:p>
      <w:pPr>
        <w:rPr>
          <w:sz w:val="29"/>
          <w:szCs w:val="29"/>
        </w:rPr>
      </w:pPr>
    </w:p>
    <w:p>
      <w:pPr>
        <w:pStyle w:val="14"/>
        <w:numPr>
          <w:ilvl w:val="0"/>
          <w:numId w:val="1"/>
        </w:numPr>
        <w:ind w:firstLineChars="0"/>
        <w:rPr>
          <w:b/>
          <w:sz w:val="33"/>
          <w:szCs w:val="33"/>
        </w:rPr>
      </w:pPr>
      <w:r>
        <w:rPr>
          <w:rFonts w:hint="eastAsia"/>
          <w:b/>
          <w:sz w:val="33"/>
          <w:szCs w:val="33"/>
        </w:rPr>
        <w:t>联系方式：</w:t>
      </w:r>
    </w:p>
    <w:p>
      <w:pPr>
        <w:rPr>
          <w:b/>
          <w:sz w:val="29"/>
          <w:szCs w:val="29"/>
        </w:rPr>
      </w:pPr>
      <w:r>
        <w:rPr>
          <w:rFonts w:hint="eastAsia"/>
          <w:b/>
          <w:sz w:val="29"/>
          <w:szCs w:val="29"/>
        </w:rPr>
        <w:t>（一）北京教育科学研究院科教研管理与合作交流处：</w:t>
      </w:r>
    </w:p>
    <w:p>
      <w:pPr>
        <w:rPr>
          <w:sz w:val="29"/>
          <w:szCs w:val="29"/>
        </w:rPr>
      </w:pPr>
      <w:r>
        <w:rPr>
          <w:rFonts w:hint="eastAsia"/>
          <w:sz w:val="29"/>
          <w:szCs w:val="29"/>
        </w:rPr>
        <w:t xml:space="preserve">电话（TEL）：裴晓燕 </w:t>
      </w:r>
      <w:r>
        <w:rPr>
          <w:rFonts w:hint="eastAsia" w:ascii="宋体" w:hAnsi="宋体"/>
          <w:sz w:val="28"/>
          <w:szCs w:val="28"/>
        </w:rPr>
        <w:t>13661120166</w:t>
      </w:r>
    </w:p>
    <w:p>
      <w:pPr>
        <w:rPr>
          <w:sz w:val="29"/>
          <w:szCs w:val="29"/>
        </w:rPr>
      </w:pPr>
      <w:r>
        <w:rPr>
          <w:rFonts w:hint="eastAsia"/>
          <w:sz w:val="29"/>
          <w:szCs w:val="29"/>
        </w:rPr>
        <w:t>邮箱（EMAIL）：</w:t>
      </w:r>
      <w:r>
        <w:fldChar w:fldCharType="begin"/>
      </w:r>
      <w:r>
        <w:instrText xml:space="preserve"> HYPERLINK "mailto:bjjkykhc@163.com" </w:instrText>
      </w:r>
      <w:r>
        <w:fldChar w:fldCharType="separate"/>
      </w:r>
      <w:r>
        <w:rPr>
          <w:rStyle w:val="11"/>
          <w:rFonts w:hint="eastAsia"/>
          <w:sz w:val="29"/>
          <w:szCs w:val="29"/>
        </w:rPr>
        <w:t>bjjkykhc@163.com</w:t>
      </w:r>
      <w:r>
        <w:rPr>
          <w:rStyle w:val="11"/>
          <w:rFonts w:hint="eastAsia"/>
          <w:sz w:val="29"/>
          <w:szCs w:val="29"/>
        </w:rPr>
        <w:fldChar w:fldCharType="end"/>
      </w:r>
    </w:p>
    <w:p>
      <w:pPr>
        <w:rPr>
          <w:b/>
          <w:sz w:val="29"/>
          <w:szCs w:val="29"/>
        </w:rPr>
      </w:pPr>
      <w:r>
        <w:rPr>
          <w:rFonts w:hint="eastAsia"/>
          <w:b/>
          <w:sz w:val="29"/>
          <w:szCs w:val="29"/>
        </w:rPr>
        <w:t>（二）北京教育科学研究院终身学习与可持续发展教育研究所:</w:t>
      </w:r>
    </w:p>
    <w:p>
      <w:pPr>
        <w:rPr>
          <w:sz w:val="29"/>
          <w:szCs w:val="29"/>
        </w:rPr>
      </w:pPr>
      <w:r>
        <w:rPr>
          <w:rFonts w:hint="eastAsia"/>
          <w:sz w:val="29"/>
          <w:szCs w:val="29"/>
        </w:rPr>
        <w:t>电话（TEL）：张婧：18511097726</w:t>
      </w:r>
    </w:p>
    <w:p>
      <w:pPr>
        <w:rPr>
          <w:sz w:val="29"/>
          <w:szCs w:val="29"/>
          <w:u w:val="single"/>
        </w:rPr>
      </w:pPr>
      <w:r>
        <w:rPr>
          <w:rFonts w:hint="eastAsia"/>
          <w:sz w:val="29"/>
          <w:szCs w:val="29"/>
        </w:rPr>
        <w:t>邮箱（EMAIL）：</w:t>
      </w:r>
      <w:r>
        <w:fldChar w:fldCharType="begin"/>
      </w:r>
      <w:r>
        <w:instrText xml:space="preserve"> HYPERLINK "mailto:sftangcn@sina.com" </w:instrText>
      </w:r>
      <w:r>
        <w:fldChar w:fldCharType="separate"/>
      </w:r>
      <w:r>
        <w:rPr>
          <w:rFonts w:hint="eastAsia"/>
          <w:sz w:val="29"/>
          <w:szCs w:val="29"/>
          <w:u w:val="single"/>
        </w:rPr>
        <w:t>sftangcn@sina.com</w:t>
      </w:r>
      <w:r>
        <w:rPr>
          <w:rFonts w:hint="eastAsia"/>
          <w:sz w:val="29"/>
          <w:szCs w:val="29"/>
          <w:u w:val="single"/>
        </w:rPr>
        <w:fldChar w:fldCharType="end"/>
      </w:r>
    </w:p>
    <w:p>
      <w:pPr>
        <w:jc w:val="right"/>
        <w:rPr>
          <w:sz w:val="29"/>
          <w:szCs w:val="29"/>
        </w:rPr>
      </w:pPr>
      <w:r>
        <w:rPr>
          <w:rFonts w:hint="eastAsia"/>
          <w:sz w:val="29"/>
          <w:szCs w:val="29"/>
        </w:rPr>
        <w:t xml:space="preserve">                                       </w:t>
      </w:r>
    </w:p>
    <w:p>
      <w:pPr>
        <w:jc w:val="right"/>
        <w:rPr>
          <w:sz w:val="29"/>
          <w:szCs w:val="29"/>
        </w:rPr>
      </w:pPr>
    </w:p>
    <w:p>
      <w:pPr>
        <w:jc w:val="right"/>
        <w:rPr>
          <w:sz w:val="29"/>
          <w:szCs w:val="29"/>
        </w:rPr>
      </w:pPr>
    </w:p>
    <w:p>
      <w:pPr>
        <w:jc w:val="right"/>
        <w:rPr>
          <w:sz w:val="29"/>
          <w:szCs w:val="29"/>
        </w:rPr>
      </w:pPr>
    </w:p>
    <w:p>
      <w:pPr>
        <w:jc w:val="right"/>
        <w:rPr>
          <w:sz w:val="29"/>
          <w:szCs w:val="29"/>
        </w:rPr>
      </w:pPr>
    </w:p>
    <w:p>
      <w:pPr>
        <w:jc w:val="right"/>
        <w:rPr>
          <w:sz w:val="29"/>
          <w:szCs w:val="29"/>
        </w:rPr>
      </w:pPr>
    </w:p>
    <w:p>
      <w:pPr>
        <w:jc w:val="right"/>
        <w:rPr>
          <w:sz w:val="29"/>
          <w:szCs w:val="29"/>
        </w:rPr>
      </w:pPr>
    </w:p>
    <w:p>
      <w:pPr>
        <w:jc w:val="right"/>
        <w:rPr>
          <w:sz w:val="29"/>
          <w:szCs w:val="29"/>
        </w:rPr>
      </w:pPr>
    </w:p>
    <w:p>
      <w:pPr>
        <w:jc w:val="right"/>
        <w:rPr>
          <w:sz w:val="29"/>
          <w:szCs w:val="29"/>
        </w:rPr>
      </w:pPr>
    </w:p>
    <w:p>
      <w:pPr>
        <w:jc w:val="right"/>
        <w:rPr>
          <w:sz w:val="29"/>
          <w:szCs w:val="29"/>
        </w:rPr>
      </w:pPr>
    </w:p>
    <w:p>
      <w:pPr>
        <w:jc w:val="right"/>
        <w:rPr>
          <w:sz w:val="29"/>
          <w:szCs w:val="29"/>
        </w:rPr>
      </w:pPr>
    </w:p>
    <w:p>
      <w:pPr>
        <w:ind w:right="4869"/>
        <w:rPr>
          <w:b/>
          <w:sz w:val="33"/>
          <w:szCs w:val="33"/>
        </w:rPr>
      </w:pPr>
    </w:p>
    <w:sectPr>
      <w:headerReference r:id="rId4" w:type="default"/>
      <w:footerReference r:id="rId5" w:type="default"/>
      <w:pgSz w:w="11907" w:h="16839"/>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7"/>
        <w:szCs w:val="17"/>
      </w:rPr>
      <w:id w:val="3306972"/>
      <w:docPartObj>
        <w:docPartGallery w:val="AutoText"/>
      </w:docPartObj>
    </w:sdtPr>
    <w:sdtEndPr>
      <w:rPr>
        <w:sz w:val="17"/>
        <w:szCs w:val="17"/>
      </w:rPr>
    </w:sdtEndPr>
    <w:sdtContent>
      <w:sdt>
        <w:sdtPr>
          <w:rPr>
            <w:sz w:val="17"/>
            <w:szCs w:val="17"/>
          </w:rPr>
          <w:id w:val="171357217"/>
          <w:docPartObj>
            <w:docPartGallery w:val="AutoText"/>
          </w:docPartObj>
        </w:sdtPr>
        <w:sdtEndPr>
          <w:rPr>
            <w:sz w:val="17"/>
            <w:szCs w:val="17"/>
          </w:rPr>
        </w:sdtEndPr>
        <w:sdtContent>
          <w:p>
            <w:pPr>
              <w:pStyle w:val="4"/>
              <w:jc w:val="center"/>
              <w:rPr>
                <w:sz w:val="17"/>
                <w:szCs w:val="17"/>
              </w:rPr>
            </w:pPr>
            <w:r>
              <w:rPr>
                <w:sz w:val="17"/>
                <w:szCs w:val="17"/>
                <w:lang w:val="zh-CN"/>
              </w:rPr>
              <w:t xml:space="preserve"> </w:t>
            </w:r>
            <w:r>
              <w:rPr>
                <w:b/>
                <w:sz w:val="22"/>
                <w:szCs w:val="22"/>
              </w:rPr>
              <w:fldChar w:fldCharType="begin"/>
            </w:r>
            <w:r>
              <w:rPr>
                <w:b/>
                <w:sz w:val="17"/>
                <w:szCs w:val="17"/>
              </w:rPr>
              <w:instrText xml:space="preserve">PAGE</w:instrText>
            </w:r>
            <w:r>
              <w:rPr>
                <w:b/>
                <w:sz w:val="22"/>
                <w:szCs w:val="22"/>
              </w:rPr>
              <w:fldChar w:fldCharType="separate"/>
            </w:r>
            <w:r>
              <w:rPr>
                <w:b/>
                <w:sz w:val="17"/>
                <w:szCs w:val="17"/>
              </w:rPr>
              <w:t>2</w:t>
            </w:r>
            <w:r>
              <w:rPr>
                <w:b/>
                <w:sz w:val="22"/>
                <w:szCs w:val="22"/>
              </w:rPr>
              <w:fldChar w:fldCharType="end"/>
            </w:r>
            <w:r>
              <w:rPr>
                <w:sz w:val="17"/>
                <w:szCs w:val="17"/>
                <w:lang w:val="zh-CN"/>
              </w:rPr>
              <w:t xml:space="preserve"> / </w:t>
            </w:r>
            <w:r>
              <w:rPr>
                <w:b/>
                <w:sz w:val="22"/>
                <w:szCs w:val="22"/>
              </w:rPr>
              <w:fldChar w:fldCharType="begin"/>
            </w:r>
            <w:r>
              <w:rPr>
                <w:b/>
                <w:sz w:val="17"/>
                <w:szCs w:val="17"/>
              </w:rPr>
              <w:instrText xml:space="preserve">NUMPAGES</w:instrText>
            </w:r>
            <w:r>
              <w:rPr>
                <w:b/>
                <w:sz w:val="22"/>
                <w:szCs w:val="22"/>
              </w:rPr>
              <w:fldChar w:fldCharType="separate"/>
            </w:r>
            <w:r>
              <w:rPr>
                <w:b/>
                <w:sz w:val="17"/>
                <w:szCs w:val="17"/>
              </w:rPr>
              <w:t>11</w:t>
            </w:r>
            <w:r>
              <w:rPr>
                <w:b/>
                <w:sz w:val="22"/>
                <w:szCs w:val="22"/>
              </w:rPr>
              <w:fldChar w:fldCharType="end"/>
            </w:r>
          </w:p>
        </w:sdtContent>
      </w:sdt>
    </w:sdtContent>
  </w:sdt>
  <w:p>
    <w:pPr>
      <w:pStyle w:val="4"/>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spacing w:before="100" w:beforeAutospacing="1" w:after="100" w:afterAutospacing="1"/>
        <w:jc w:val="left"/>
        <w:rPr>
          <w:rFonts w:ascii="宋体" w:hAnsi="宋体" w:eastAsia="宋体" w:cs="宋体"/>
          <w:kern w:val="0"/>
          <w:sz w:val="22"/>
        </w:rPr>
      </w:pPr>
      <w:r>
        <w:rPr>
          <w:rFonts w:hint="eastAsia" w:ascii="黑体" w:hAnsi="黑体" w:eastAsia="黑体" w:cs="宋体"/>
          <w:kern w:val="0"/>
          <w:sz w:val="17"/>
          <w:szCs w:val="17"/>
        </w:rPr>
        <w:t>作者简介:</w:t>
      </w:r>
      <w:r>
        <w:rPr>
          <w:rFonts w:hint="eastAsia" w:ascii="宋体" w:hAnsi="宋体" w:eastAsia="宋体" w:cs="宋体"/>
          <w:kern w:val="0"/>
          <w:sz w:val="17"/>
          <w:szCs w:val="17"/>
        </w:rPr>
        <w:t xml:space="preserve">张 </w:t>
      </w:r>
      <w:r>
        <w:rPr>
          <w:rFonts w:ascii="TimesNewRomanPSMT" w:hAnsi="TimesNewRomanPSMT" w:eastAsia="宋体" w:cs="宋体"/>
          <w:kern w:val="0"/>
          <w:sz w:val="17"/>
          <w:szCs w:val="17"/>
        </w:rPr>
        <w:t>XX</w:t>
      </w:r>
      <w:r>
        <w:rPr>
          <w:rFonts w:hint="eastAsia" w:ascii="宋体" w:hAnsi="宋体" w:eastAsia="宋体" w:cs="宋体"/>
          <w:kern w:val="0"/>
          <w:sz w:val="17"/>
          <w:szCs w:val="17"/>
        </w:rPr>
        <w:t>(1978-)，男，北京人，副教授，研究方向为教育管理学。</w:t>
      </w:r>
      <w:r>
        <w:rPr>
          <w:rFonts w:ascii="TimesNewRomanPSMT" w:hAnsi="TimesNewRomanPSMT" w:eastAsia="宋体" w:cs="宋体"/>
          <w:kern w:val="0"/>
          <w:sz w:val="17"/>
          <w:szCs w:val="17"/>
        </w:rPr>
        <w:t xml:space="preserve"> </w:t>
      </w:r>
    </w:p>
    <w:p>
      <w:pPr>
        <w:pStyle w:val="6"/>
        <w:rPr>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17"/>
        <w:szCs w:val="17"/>
      </w:rPr>
    </w:pPr>
  </w:p>
  <w:p>
    <w:pPr>
      <w:pStyle w:val="5"/>
      <w:rPr>
        <w:rFonts w:ascii="华文隶书" w:eastAsia="华文隶书"/>
        <w:sz w:val="29"/>
        <w:szCs w:val="29"/>
      </w:rPr>
    </w:pPr>
    <w:r>
      <w:rPr>
        <w:rFonts w:hint="eastAsia" w:ascii="华文隶书" w:eastAsia="华文隶书"/>
        <w:sz w:val="29"/>
        <w:szCs w:val="29"/>
      </w:rPr>
      <w:t>北京教育科学研究院      第六届“2019年北京教育论坛”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54CB"/>
    <w:multiLevelType w:val="multilevel"/>
    <w:tmpl w:val="18E954CB"/>
    <w:lvl w:ilvl="0" w:tentative="0">
      <w:start w:val="1"/>
      <w:numFmt w:val="bullet"/>
      <w:lvlText w:val=""/>
      <w:lvlJc w:val="left"/>
      <w:pPr>
        <w:ind w:left="1000" w:hanging="420"/>
      </w:pPr>
      <w:rPr>
        <w:rFonts w:hint="default" w:ascii="Wingdings" w:hAnsi="Wingdings"/>
      </w:rPr>
    </w:lvl>
    <w:lvl w:ilvl="1" w:tentative="0">
      <w:start w:val="1"/>
      <w:numFmt w:val="bullet"/>
      <w:lvlText w:val=""/>
      <w:lvlJc w:val="left"/>
      <w:pPr>
        <w:ind w:left="1420" w:hanging="420"/>
      </w:pPr>
      <w:rPr>
        <w:rFonts w:hint="default" w:ascii="Wingdings" w:hAnsi="Wingdings"/>
      </w:rPr>
    </w:lvl>
    <w:lvl w:ilvl="2" w:tentative="0">
      <w:start w:val="1"/>
      <w:numFmt w:val="bullet"/>
      <w:lvlText w:val=""/>
      <w:lvlJc w:val="left"/>
      <w:pPr>
        <w:ind w:left="1840" w:hanging="420"/>
      </w:pPr>
      <w:rPr>
        <w:rFonts w:hint="default" w:ascii="Wingdings" w:hAnsi="Wingdings"/>
      </w:rPr>
    </w:lvl>
    <w:lvl w:ilvl="3" w:tentative="0">
      <w:start w:val="1"/>
      <w:numFmt w:val="bullet"/>
      <w:lvlText w:val=""/>
      <w:lvlJc w:val="left"/>
      <w:pPr>
        <w:ind w:left="2260" w:hanging="420"/>
      </w:pPr>
      <w:rPr>
        <w:rFonts w:hint="default" w:ascii="Wingdings" w:hAnsi="Wingdings"/>
      </w:rPr>
    </w:lvl>
    <w:lvl w:ilvl="4" w:tentative="0">
      <w:start w:val="1"/>
      <w:numFmt w:val="bullet"/>
      <w:lvlText w:val=""/>
      <w:lvlJc w:val="left"/>
      <w:pPr>
        <w:ind w:left="2680" w:hanging="420"/>
      </w:pPr>
      <w:rPr>
        <w:rFonts w:hint="default" w:ascii="Wingdings" w:hAnsi="Wingdings"/>
      </w:rPr>
    </w:lvl>
    <w:lvl w:ilvl="5" w:tentative="0">
      <w:start w:val="1"/>
      <w:numFmt w:val="bullet"/>
      <w:lvlText w:val=""/>
      <w:lvlJc w:val="left"/>
      <w:pPr>
        <w:ind w:left="3100" w:hanging="420"/>
      </w:pPr>
      <w:rPr>
        <w:rFonts w:hint="default" w:ascii="Wingdings" w:hAnsi="Wingdings"/>
      </w:rPr>
    </w:lvl>
    <w:lvl w:ilvl="6" w:tentative="0">
      <w:start w:val="1"/>
      <w:numFmt w:val="bullet"/>
      <w:lvlText w:val=""/>
      <w:lvlJc w:val="left"/>
      <w:pPr>
        <w:ind w:left="3520" w:hanging="420"/>
      </w:pPr>
      <w:rPr>
        <w:rFonts w:hint="default" w:ascii="Wingdings" w:hAnsi="Wingdings"/>
      </w:rPr>
    </w:lvl>
    <w:lvl w:ilvl="7" w:tentative="0">
      <w:start w:val="1"/>
      <w:numFmt w:val="bullet"/>
      <w:lvlText w:val=""/>
      <w:lvlJc w:val="left"/>
      <w:pPr>
        <w:ind w:left="3940" w:hanging="420"/>
      </w:pPr>
      <w:rPr>
        <w:rFonts w:hint="default" w:ascii="Wingdings" w:hAnsi="Wingdings"/>
      </w:rPr>
    </w:lvl>
    <w:lvl w:ilvl="8" w:tentative="0">
      <w:start w:val="1"/>
      <w:numFmt w:val="bullet"/>
      <w:lvlText w:val=""/>
      <w:lvlJc w:val="left"/>
      <w:pPr>
        <w:ind w:left="4360" w:hanging="420"/>
      </w:pPr>
      <w:rPr>
        <w:rFonts w:hint="default" w:ascii="Wingdings" w:hAnsi="Wingdings"/>
      </w:rPr>
    </w:lvl>
  </w:abstractNum>
  <w:abstractNum w:abstractNumId="1">
    <w:nsid w:val="1B8C02BA"/>
    <w:multiLevelType w:val="multilevel"/>
    <w:tmpl w:val="1B8C02BA"/>
    <w:lvl w:ilvl="0" w:tentative="0">
      <w:start w:val="1"/>
      <w:numFmt w:val="japaneseCounting"/>
      <w:lvlText w:val="（%1）"/>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7171DD"/>
    <w:multiLevelType w:val="multilevel"/>
    <w:tmpl w:val="407171DD"/>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002903"/>
    <w:multiLevelType w:val="multilevel"/>
    <w:tmpl w:val="460029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192DA7"/>
    <w:multiLevelType w:val="multilevel"/>
    <w:tmpl w:val="6D192DA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0C17"/>
    <w:rsid w:val="000009A0"/>
    <w:rsid w:val="001040A5"/>
    <w:rsid w:val="001048AE"/>
    <w:rsid w:val="00164A0A"/>
    <w:rsid w:val="00193A3E"/>
    <w:rsid w:val="001C417E"/>
    <w:rsid w:val="001C6C60"/>
    <w:rsid w:val="001F0782"/>
    <w:rsid w:val="001F0845"/>
    <w:rsid w:val="00201D16"/>
    <w:rsid w:val="0022655C"/>
    <w:rsid w:val="0025516F"/>
    <w:rsid w:val="0029344F"/>
    <w:rsid w:val="002B0278"/>
    <w:rsid w:val="002D0C7D"/>
    <w:rsid w:val="002E3C3E"/>
    <w:rsid w:val="0031537F"/>
    <w:rsid w:val="00354BA5"/>
    <w:rsid w:val="003B5B88"/>
    <w:rsid w:val="003F7F06"/>
    <w:rsid w:val="00441A3E"/>
    <w:rsid w:val="004461E9"/>
    <w:rsid w:val="00456812"/>
    <w:rsid w:val="004660A2"/>
    <w:rsid w:val="00483EFA"/>
    <w:rsid w:val="004D3206"/>
    <w:rsid w:val="00533AC9"/>
    <w:rsid w:val="005F7553"/>
    <w:rsid w:val="006078D6"/>
    <w:rsid w:val="00671C7A"/>
    <w:rsid w:val="0067573F"/>
    <w:rsid w:val="00683663"/>
    <w:rsid w:val="006D7C7D"/>
    <w:rsid w:val="006E4924"/>
    <w:rsid w:val="006F0669"/>
    <w:rsid w:val="006F43D4"/>
    <w:rsid w:val="0070632E"/>
    <w:rsid w:val="007172A4"/>
    <w:rsid w:val="0072244E"/>
    <w:rsid w:val="0078178C"/>
    <w:rsid w:val="007B3F6E"/>
    <w:rsid w:val="007C4D3D"/>
    <w:rsid w:val="00830C3B"/>
    <w:rsid w:val="00883B1B"/>
    <w:rsid w:val="008C5C6F"/>
    <w:rsid w:val="008D1D60"/>
    <w:rsid w:val="008E4282"/>
    <w:rsid w:val="008E4336"/>
    <w:rsid w:val="008F7612"/>
    <w:rsid w:val="00907FB1"/>
    <w:rsid w:val="00910C17"/>
    <w:rsid w:val="00930CF7"/>
    <w:rsid w:val="00997977"/>
    <w:rsid w:val="009A4344"/>
    <w:rsid w:val="009E59C5"/>
    <w:rsid w:val="00A92DB1"/>
    <w:rsid w:val="00A95957"/>
    <w:rsid w:val="00AC149C"/>
    <w:rsid w:val="00AC5F84"/>
    <w:rsid w:val="00B36ABC"/>
    <w:rsid w:val="00B438EB"/>
    <w:rsid w:val="00B86EAD"/>
    <w:rsid w:val="00B97B04"/>
    <w:rsid w:val="00BA419C"/>
    <w:rsid w:val="00C55C2E"/>
    <w:rsid w:val="00C60A53"/>
    <w:rsid w:val="00C624AE"/>
    <w:rsid w:val="00C87FDE"/>
    <w:rsid w:val="00CB3848"/>
    <w:rsid w:val="00D924B6"/>
    <w:rsid w:val="00E41D58"/>
    <w:rsid w:val="00E826CC"/>
    <w:rsid w:val="00F14825"/>
    <w:rsid w:val="00FE34A4"/>
    <w:rsid w:val="1A00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9"/>
    <w:unhideWhenUsed/>
    <w:uiPriority w:val="99"/>
    <w:pPr>
      <w:tabs>
        <w:tab w:val="center" w:pos="4153"/>
        <w:tab w:val="right" w:pos="8306"/>
      </w:tabs>
      <w:snapToGrid w:val="0"/>
      <w:jc w:val="left"/>
    </w:pPr>
    <w:rPr>
      <w:sz w:val="18"/>
      <w:szCs w:val="18"/>
    </w:rPr>
  </w:style>
  <w:style w:type="paragraph" w:styleId="5">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semiHidden/>
    <w:unhideWhenUsed/>
    <w:uiPriority w:val="99"/>
    <w:pPr>
      <w:snapToGrid w:val="0"/>
      <w:jc w:val="left"/>
    </w:pPr>
    <w:rPr>
      <w:sz w:val="18"/>
      <w:szCs w:val="18"/>
    </w:rPr>
  </w:style>
  <w:style w:type="paragraph" w:styleId="7">
    <w:name w:val="annotation subject"/>
    <w:basedOn w:val="2"/>
    <w:next w:val="2"/>
    <w:link w:val="16"/>
    <w:semiHidden/>
    <w:unhideWhenUsed/>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paragraph" w:styleId="14">
    <w:name w:val="List Paragraph"/>
    <w:basedOn w:val="1"/>
    <w:qFormat/>
    <w:uiPriority w:val="34"/>
    <w:pPr>
      <w:ind w:firstLine="420" w:firstLineChars="200"/>
    </w:pPr>
  </w:style>
  <w:style w:type="character" w:customStyle="1" w:styleId="15">
    <w:name w:val="批注文字 Char"/>
    <w:basedOn w:val="10"/>
    <w:link w:val="2"/>
    <w:semiHidden/>
    <w:uiPriority w:val="99"/>
  </w:style>
  <w:style w:type="character" w:customStyle="1" w:styleId="16">
    <w:name w:val="批注主题 Char"/>
    <w:basedOn w:val="15"/>
    <w:link w:val="7"/>
    <w:semiHidden/>
    <w:uiPriority w:val="99"/>
    <w:rPr>
      <w:b/>
      <w:bCs/>
    </w:rPr>
  </w:style>
  <w:style w:type="character" w:customStyle="1" w:styleId="17">
    <w:name w:val="批注框文本 Char"/>
    <w:basedOn w:val="10"/>
    <w:link w:val="3"/>
    <w:semiHidden/>
    <w:uiPriority w:val="99"/>
    <w:rPr>
      <w:sz w:val="18"/>
      <w:szCs w:val="18"/>
    </w:rPr>
  </w:style>
  <w:style w:type="character" w:customStyle="1" w:styleId="18">
    <w:name w:val="页眉 Char"/>
    <w:basedOn w:val="10"/>
    <w:link w:val="5"/>
    <w:uiPriority w:val="99"/>
    <w:rPr>
      <w:sz w:val="18"/>
      <w:szCs w:val="18"/>
    </w:rPr>
  </w:style>
  <w:style w:type="character" w:customStyle="1" w:styleId="19">
    <w:name w:val="页脚 Char"/>
    <w:basedOn w:val="10"/>
    <w:link w:val="4"/>
    <w:uiPriority w:val="99"/>
    <w:rPr>
      <w:sz w:val="18"/>
      <w:szCs w:val="18"/>
    </w:rPr>
  </w:style>
  <w:style w:type="character" w:customStyle="1" w:styleId="20">
    <w:name w:val="脚注文本 Char"/>
    <w:basedOn w:val="10"/>
    <w:link w:val="6"/>
    <w:semiHidden/>
    <w:uiPriority w:val="99"/>
    <w:rPr>
      <w:sz w:val="18"/>
      <w:szCs w:val="18"/>
    </w:rPr>
  </w:style>
  <w:style w:type="paragraph" w:styleId="21">
    <w:name w:val="No Spacing"/>
    <w:link w:val="22"/>
    <w:qFormat/>
    <w:uiPriority w:val="1"/>
    <w:rPr>
      <w:rFonts w:asciiTheme="minorHAnsi" w:hAnsiTheme="minorHAnsi" w:eastAsiaTheme="minorEastAsia" w:cstheme="minorBidi"/>
      <w:kern w:val="0"/>
      <w:sz w:val="22"/>
      <w:szCs w:val="22"/>
      <w:lang w:val="en-US" w:eastAsia="zh-CN" w:bidi="ar-SA"/>
    </w:rPr>
  </w:style>
  <w:style w:type="character" w:customStyle="1" w:styleId="22">
    <w:name w:val="无间隔 Char"/>
    <w:basedOn w:val="10"/>
    <w:link w:val="21"/>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D3D2AB-18FF-4D28-8F08-6E1B38C57661}">
  <ds:schemaRefs/>
</ds:datastoreItem>
</file>

<file path=docProps/app.xml><?xml version="1.0" encoding="utf-8"?>
<Properties xmlns="http://schemas.openxmlformats.org/officeDocument/2006/extended-properties" xmlns:vt="http://schemas.openxmlformats.org/officeDocument/2006/docPropsVTypes">
  <Template>Normal</Template>
  <Pages>11</Pages>
  <Words>477</Words>
  <Characters>2723</Characters>
  <Lines>22</Lines>
  <Paragraphs>6</Paragraphs>
  <TotalTime>1</TotalTime>
  <ScaleCrop>false</ScaleCrop>
  <LinksUpToDate>false</LinksUpToDate>
  <CharactersWithSpaces>3194</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2019-08-27T02:36:00Z</dcterms:created>
  <dc:creator>陈黎明</dc:creator>
  <cp:lastModifiedBy>Administrator</cp:lastModifiedBy>
  <cp:lastPrinted>2019-06-17T03:09:00Z</cp:lastPrinted>
  <dcterms:modified xsi:type="dcterms:W3CDTF">2019-09-04T01:20:54Z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